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2E" w:rsidRDefault="002C3E60">
      <w:pPr>
        <w:pStyle w:val="normal0"/>
        <w:spacing w:line="360" w:lineRule="auto"/>
        <w:jc w:val="center"/>
      </w:pPr>
      <w:r>
        <w:rPr>
          <w:rFonts w:ascii="Times New Roman" w:eastAsia="Times New Roman" w:hAnsi="Times New Roman" w:cs="Times New Roman"/>
          <w:b/>
          <w:sz w:val="24"/>
        </w:rPr>
        <w:t>INTERGENERATIONAL EQUITY</w:t>
      </w:r>
    </w:p>
    <w:p w:rsidR="0076502E" w:rsidRDefault="002C3E60">
      <w:pPr>
        <w:pStyle w:val="normal0"/>
        <w:spacing w:line="360" w:lineRule="auto"/>
        <w:jc w:val="center"/>
      </w:pPr>
      <w:r>
        <w:rPr>
          <w:rFonts w:ascii="Times New Roman" w:eastAsia="Times New Roman" w:hAnsi="Times New Roman" w:cs="Times New Roman"/>
          <w:sz w:val="24"/>
        </w:rPr>
        <w:t>(A Note on behalf of Goa Foundation)</w:t>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sz w:val="24"/>
        </w:rPr>
        <w:t>The most widely accepted definition of ‘intergenerational equity’ is the one espoused by the World Commission on Environmental and Development in 1987, which held that “</w:t>
      </w:r>
      <w:r>
        <w:rPr>
          <w:rFonts w:ascii="Times New Roman" w:eastAsia="Times New Roman" w:hAnsi="Times New Roman" w:cs="Times New Roman"/>
          <w:i/>
          <w:sz w:val="24"/>
        </w:rPr>
        <w:t xml:space="preserve">policy makers should </w:t>
      </w:r>
      <w:r>
        <w:rPr>
          <w:rFonts w:ascii="Times New Roman" w:eastAsia="Times New Roman" w:hAnsi="Times New Roman" w:cs="Times New Roman"/>
          <w:i/>
          <w:sz w:val="24"/>
        </w:rPr>
        <w:t>seek to meet their own needs without compromising the ability of future generations to meet their own needs</w:t>
      </w:r>
      <w:r>
        <w:rPr>
          <w:rFonts w:ascii="Times New Roman" w:eastAsia="Times New Roman" w:hAnsi="Times New Roman" w:cs="Times New Roman"/>
          <w:sz w:val="24"/>
        </w:rPr>
        <w:t>”. The concept of intergenerational equity has the following three aspects, as enumerated by Professor Edith Brown Weiss in her seminal paper ‘Interg</w:t>
      </w:r>
      <w:r>
        <w:rPr>
          <w:rFonts w:ascii="Times New Roman" w:eastAsia="Times New Roman" w:hAnsi="Times New Roman" w:cs="Times New Roman"/>
          <w:sz w:val="24"/>
        </w:rPr>
        <w:t>enerational equity: a legal framework for global environmental change’ published in 1992 and reinforced by Justice Brian J. Preston in his paper ‘The Role of the Judiciary in Promoting Sustainable Development: The Experience of Asia and the Pacific’ :</w:t>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sz w:val="24"/>
        </w:rPr>
        <w:t xml:space="preserve">1. </w:t>
      </w:r>
      <w:r>
        <w:rPr>
          <w:rFonts w:ascii="Times New Roman" w:eastAsia="Times New Roman" w:hAnsi="Times New Roman" w:cs="Times New Roman"/>
          <w:sz w:val="24"/>
        </w:rPr>
        <w:t>Each generation should be required to conserve the diversity of the natural and cultural resource base, so that it does not unduly restrict the options available to future generations in solving their problems and satisfying their own values, and should al</w:t>
      </w:r>
      <w:r>
        <w:rPr>
          <w:rFonts w:ascii="Times New Roman" w:eastAsia="Times New Roman" w:hAnsi="Times New Roman" w:cs="Times New Roman"/>
          <w:sz w:val="24"/>
        </w:rPr>
        <w:t xml:space="preserve">so be entitled to diversity comparable to that enjoyed by previous generations. This principle is called "conservation of options". </w:t>
      </w:r>
    </w:p>
    <w:p w:rsidR="0076502E" w:rsidRDefault="0076502E">
      <w:pPr>
        <w:pStyle w:val="normal0"/>
        <w:spacing w:line="360" w:lineRule="auto"/>
        <w:ind w:left="720"/>
        <w:jc w:val="both"/>
      </w:pPr>
    </w:p>
    <w:p w:rsidR="0076502E" w:rsidRDefault="002C3E60">
      <w:pPr>
        <w:pStyle w:val="normal0"/>
        <w:spacing w:line="360" w:lineRule="auto"/>
        <w:jc w:val="both"/>
      </w:pPr>
      <w:r>
        <w:rPr>
          <w:rFonts w:ascii="Times New Roman" w:eastAsia="Times New Roman" w:hAnsi="Times New Roman" w:cs="Times New Roman"/>
          <w:sz w:val="24"/>
        </w:rPr>
        <w:t xml:space="preserve">2. Each generation should be required to maintain the quality of the planet so that it is passed on in no worse condition </w:t>
      </w:r>
      <w:r>
        <w:rPr>
          <w:rFonts w:ascii="Times New Roman" w:eastAsia="Times New Roman" w:hAnsi="Times New Roman" w:cs="Times New Roman"/>
          <w:sz w:val="24"/>
        </w:rPr>
        <w:t xml:space="preserve">than that in which it was received, and should also be entitled to planetary quality comparable to that enjoyed by previous generations. This is the principle of "conservation of quality." </w:t>
      </w:r>
    </w:p>
    <w:p w:rsidR="0076502E" w:rsidRDefault="0076502E">
      <w:pPr>
        <w:pStyle w:val="normal0"/>
        <w:spacing w:line="360" w:lineRule="auto"/>
        <w:ind w:left="720"/>
        <w:jc w:val="both"/>
      </w:pPr>
    </w:p>
    <w:p w:rsidR="0076502E" w:rsidRDefault="002C3E60">
      <w:pPr>
        <w:pStyle w:val="normal0"/>
        <w:spacing w:line="360" w:lineRule="auto"/>
        <w:jc w:val="both"/>
      </w:pPr>
      <w:r>
        <w:rPr>
          <w:rFonts w:ascii="Times New Roman" w:eastAsia="Times New Roman" w:hAnsi="Times New Roman" w:cs="Times New Roman"/>
          <w:sz w:val="24"/>
        </w:rPr>
        <w:t>3. Each generation should provide its members with equitable righ</w:t>
      </w:r>
      <w:r>
        <w:rPr>
          <w:rFonts w:ascii="Times New Roman" w:eastAsia="Times New Roman" w:hAnsi="Times New Roman" w:cs="Times New Roman"/>
          <w:sz w:val="24"/>
        </w:rPr>
        <w:t>ts of access to the legacy of past generations and should conserve this access for future generations. This is the principle of "conservation of access."</w:t>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sz w:val="24"/>
        </w:rPr>
        <w:t>The essence of the concept is summarised by Edith Brown Weiss in the following terms:</w:t>
      </w:r>
    </w:p>
    <w:p w:rsidR="0076502E" w:rsidRDefault="002C3E60">
      <w:pPr>
        <w:pStyle w:val="normal0"/>
        <w:spacing w:line="360" w:lineRule="auto"/>
        <w:ind w:left="720"/>
        <w:jc w:val="both"/>
      </w:pPr>
      <w:r>
        <w:rPr>
          <w:rFonts w:ascii="Times New Roman" w:eastAsia="Times New Roman" w:hAnsi="Times New Roman" w:cs="Times New Roman"/>
          <w:sz w:val="24"/>
        </w:rPr>
        <w:t>“The proposed t</w:t>
      </w:r>
      <w:r>
        <w:rPr>
          <w:rFonts w:ascii="Times New Roman" w:eastAsia="Times New Roman" w:hAnsi="Times New Roman" w:cs="Times New Roman"/>
          <w:sz w:val="24"/>
        </w:rPr>
        <w:t>heory of intergenerational equity postulates that all countries have an intergenerational obligation to future generations as a class, regardless of nationality…There is increasing recognition that while we may be able to maximise the welfare of a few imme</w:t>
      </w:r>
      <w:r>
        <w:rPr>
          <w:rFonts w:ascii="Times New Roman" w:eastAsia="Times New Roman" w:hAnsi="Times New Roman" w:cs="Times New Roman"/>
          <w:sz w:val="24"/>
        </w:rPr>
        <w:t>diate successors, we will be able to do so only at the expense of our more remote descendants who will inherit a despoiled nature and environment. Our planet is finite, and we are becoming increasingly interdependent in using it. Our rapid technological gr</w:t>
      </w:r>
      <w:r>
        <w:rPr>
          <w:rFonts w:ascii="Times New Roman" w:eastAsia="Times New Roman" w:hAnsi="Times New Roman" w:cs="Times New Roman"/>
          <w:sz w:val="24"/>
        </w:rPr>
        <w:t>owth ensures that this dependence will increase. Thus our concern for our own country must, as we extend our concerns into longer time horizons and broader geographical scales, focus on protecting the planetary quality of our natural and cultural environme</w:t>
      </w:r>
      <w:r>
        <w:rPr>
          <w:rFonts w:ascii="Times New Roman" w:eastAsia="Times New Roman" w:hAnsi="Times New Roman" w:cs="Times New Roman"/>
          <w:sz w:val="24"/>
        </w:rPr>
        <w:t xml:space="preserve">nt. This means that, even to protect our own future nationals, we must </w:t>
      </w:r>
      <w:r>
        <w:rPr>
          <w:rFonts w:ascii="Times New Roman" w:eastAsia="Times New Roman" w:hAnsi="Times New Roman" w:cs="Times New Roman"/>
          <w:sz w:val="24"/>
        </w:rPr>
        <w:lastRenderedPageBreak/>
        <w:t>cooperate in the conservation of natural and cultural resources for all future generations”.</w:t>
      </w:r>
      <w:r>
        <w:rPr>
          <w:rStyle w:val="Footnoteanchor"/>
        </w:rPr>
        <w:footnoteReference w:id="1"/>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b/>
          <w:sz w:val="24"/>
        </w:rPr>
        <w:t>Historical development of the concept of ‘Intergenerational Equity’:</w:t>
      </w:r>
    </w:p>
    <w:p w:rsidR="0076502E" w:rsidRDefault="002C3E60">
      <w:pPr>
        <w:pStyle w:val="normal0"/>
        <w:spacing w:line="360" w:lineRule="auto"/>
        <w:jc w:val="both"/>
      </w:pPr>
      <w:r>
        <w:rPr>
          <w:rFonts w:ascii="Times New Roman" w:eastAsia="Times New Roman" w:hAnsi="Times New Roman" w:cs="Times New Roman"/>
          <w:sz w:val="24"/>
        </w:rPr>
        <w:t xml:space="preserve"> </w:t>
      </w:r>
    </w:p>
    <w:p w:rsidR="0076502E" w:rsidRDefault="002C3E60">
      <w:pPr>
        <w:pStyle w:val="normal0"/>
        <w:spacing w:line="360" w:lineRule="auto"/>
        <w:jc w:val="both"/>
      </w:pPr>
      <w:r>
        <w:rPr>
          <w:rFonts w:ascii="Times New Roman" w:eastAsia="Times New Roman" w:hAnsi="Times New Roman" w:cs="Times New Roman"/>
          <w:sz w:val="24"/>
        </w:rPr>
        <w:t>In 1972, 113 nation</w:t>
      </w:r>
      <w:r>
        <w:rPr>
          <w:rFonts w:ascii="Times New Roman" w:eastAsia="Times New Roman" w:hAnsi="Times New Roman" w:cs="Times New Roman"/>
          <w:sz w:val="24"/>
        </w:rPr>
        <w:t xml:space="preserve">s of the world gathered in Stockholm, Sweden. They were concerned. The much-vaunted goal of economic growth had brought prosperity and high standards of living. But it had also brought unwanted spillover effects. The land, air and waters of the world were </w:t>
      </w:r>
      <w:r>
        <w:rPr>
          <w:rFonts w:ascii="Times New Roman" w:eastAsia="Times New Roman" w:hAnsi="Times New Roman" w:cs="Times New Roman"/>
          <w:sz w:val="24"/>
        </w:rPr>
        <w:t>being polluted to a dangerous level. The natural resources were being exploited unsustainably. The world’s biological diversity was being diminished. Species were being culled at an exponential rate. It was time for a rethink.</w:t>
      </w:r>
      <w:r>
        <w:rPr>
          <w:rStyle w:val="Footnoteanchor"/>
        </w:rPr>
        <w:footnoteReference w:id="2"/>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sz w:val="24"/>
        </w:rPr>
        <w:t>The preamble to the Stockho</w:t>
      </w:r>
      <w:r>
        <w:rPr>
          <w:rFonts w:ascii="Times New Roman" w:eastAsia="Times New Roman" w:hAnsi="Times New Roman" w:cs="Times New Roman"/>
          <w:sz w:val="24"/>
        </w:rPr>
        <w:t>lm Declaration on the Human Environment expressly refers to the objective of protecting the well-being of future generations, "... to defend and improve the environment for present and future generations has become an imperative goal for mankind - a goal t</w:t>
      </w:r>
      <w:r>
        <w:rPr>
          <w:rFonts w:ascii="Times New Roman" w:eastAsia="Times New Roman" w:hAnsi="Times New Roman" w:cs="Times New Roman"/>
          <w:sz w:val="24"/>
        </w:rPr>
        <w:t>o be pursued together with, and in harmony with, the established and fundamental goals of peace and of world-wide economic and social development." The Declaration's first principle provides that "man... bears a solemn responsibility to protect and improve</w:t>
      </w:r>
      <w:r>
        <w:rPr>
          <w:rFonts w:ascii="Times New Roman" w:eastAsia="Times New Roman" w:hAnsi="Times New Roman" w:cs="Times New Roman"/>
          <w:sz w:val="24"/>
        </w:rPr>
        <w:t xml:space="preserve"> the environment for present and future generations," while the second declares that the "natural resources of the earth, including the air, water, land, flora and fauna... must be safeguarded for the benefit of present and future generations through caref</w:t>
      </w:r>
      <w:r>
        <w:rPr>
          <w:rFonts w:ascii="Times New Roman" w:eastAsia="Times New Roman" w:hAnsi="Times New Roman" w:cs="Times New Roman"/>
          <w:sz w:val="24"/>
        </w:rPr>
        <w:t>ul planning and management." The Stockholm Conference led directly to the creation of the United Nations Environment Programme (UNEP). The explicit concern for future generations and for enhancing the environment were new contributions to the process of de</w:t>
      </w:r>
      <w:r>
        <w:rPr>
          <w:rFonts w:ascii="Times New Roman" w:eastAsia="Times New Roman" w:hAnsi="Times New Roman" w:cs="Times New Roman"/>
          <w:sz w:val="24"/>
        </w:rPr>
        <w:t>veloping international law in this area.</w:t>
      </w:r>
      <w:r>
        <w:rPr>
          <w:rStyle w:val="Footnoteanchor"/>
        </w:rPr>
        <w:footnoteReference w:id="3"/>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sz w:val="24"/>
        </w:rPr>
        <w:t>In 1983, the United Nations established the World Commission on Environment and Development (WCED) as an independent body to address global and environmental problems. One of the WCED’s principal tasks was to prep</w:t>
      </w:r>
      <w:r>
        <w:rPr>
          <w:rFonts w:ascii="Times New Roman" w:eastAsia="Times New Roman" w:hAnsi="Times New Roman" w:cs="Times New Roman"/>
          <w:sz w:val="24"/>
        </w:rPr>
        <w:t>are the report, ‘Our Common Future’. This groundbreaking report was published in 1987. It is also referred to as the Brundtland Report, after the chairperson of the Commission, Gro Harlem Brundtland.</w:t>
      </w:r>
      <w:r>
        <w:rPr>
          <w:rStyle w:val="Footnoteanchor"/>
        </w:rPr>
        <w:footnoteReference w:id="4"/>
      </w:r>
    </w:p>
    <w:p w:rsidR="0076502E" w:rsidRDefault="002C3E60">
      <w:pPr>
        <w:pStyle w:val="normal0"/>
        <w:spacing w:line="360" w:lineRule="auto"/>
        <w:ind w:left="720"/>
        <w:jc w:val="both"/>
      </w:pPr>
      <w:r>
        <w:rPr>
          <w:rFonts w:ascii="Times New Roman" w:eastAsia="Times New Roman" w:hAnsi="Times New Roman" w:cs="Times New Roman"/>
          <w:sz w:val="24"/>
        </w:rPr>
        <w:t>“Humanity has the ability to make development sustainab</w:t>
      </w:r>
      <w:r>
        <w:rPr>
          <w:rFonts w:ascii="Times New Roman" w:eastAsia="Times New Roman" w:hAnsi="Times New Roman" w:cs="Times New Roman"/>
          <w:sz w:val="24"/>
        </w:rPr>
        <w:t xml:space="preserve">le to ensure that it meets the needs of the present without compromising the ability of future generations to meet their own needs. The concept of sustainable development does imply limits - not absolute </w:t>
      </w:r>
      <w:r>
        <w:rPr>
          <w:rFonts w:ascii="Times New Roman" w:eastAsia="Times New Roman" w:hAnsi="Times New Roman" w:cs="Times New Roman"/>
          <w:sz w:val="24"/>
        </w:rPr>
        <w:lastRenderedPageBreak/>
        <w:t xml:space="preserve">limits but limitations imposed by the present state </w:t>
      </w:r>
      <w:r>
        <w:rPr>
          <w:rFonts w:ascii="Times New Roman" w:eastAsia="Times New Roman" w:hAnsi="Times New Roman" w:cs="Times New Roman"/>
          <w:sz w:val="24"/>
        </w:rPr>
        <w:t xml:space="preserve">of technology and social organization on environmental resources and by the ability of the biosphere to absorb the effects of human activities… ...in the end, sustainable development is not a fixed state of harmony, but rather a process of change in which </w:t>
      </w:r>
      <w:r>
        <w:rPr>
          <w:rFonts w:ascii="Times New Roman" w:eastAsia="Times New Roman" w:hAnsi="Times New Roman" w:cs="Times New Roman"/>
          <w:sz w:val="24"/>
        </w:rPr>
        <w:t>the exploitation of resources, the direction of investments, the orientation of technological development, and institutional change are made consistent with future as well as present needs. We do not pretend that the process is easy or straightforward. Pai</w:t>
      </w:r>
      <w:r>
        <w:rPr>
          <w:rFonts w:ascii="Times New Roman" w:eastAsia="Times New Roman" w:hAnsi="Times New Roman" w:cs="Times New Roman"/>
          <w:sz w:val="24"/>
        </w:rPr>
        <w:t xml:space="preserve">nful choices have to be made.” </w:t>
      </w:r>
      <w:r>
        <w:rPr>
          <w:rStyle w:val="Footnoteanchor"/>
        </w:rPr>
        <w:footnoteReference w:id="5"/>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sz w:val="24"/>
        </w:rPr>
        <w:t>The seminal article on intergenerational equity was published by Professor Edith Brown Weiss in 1992, and her theory, which has been cited widely since then, reads as follows:</w:t>
      </w:r>
    </w:p>
    <w:p w:rsidR="0076502E" w:rsidRDefault="0076502E">
      <w:pPr>
        <w:pStyle w:val="normal0"/>
        <w:spacing w:line="360" w:lineRule="auto"/>
        <w:jc w:val="both"/>
      </w:pPr>
    </w:p>
    <w:p w:rsidR="0076502E" w:rsidRDefault="002C3E60">
      <w:pPr>
        <w:pStyle w:val="normal0"/>
        <w:spacing w:line="360" w:lineRule="auto"/>
        <w:ind w:left="720"/>
        <w:jc w:val="both"/>
      </w:pPr>
      <w:r>
        <w:rPr>
          <w:rFonts w:ascii="Times New Roman" w:eastAsia="Times New Roman" w:hAnsi="Times New Roman" w:cs="Times New Roman"/>
          <w:sz w:val="24"/>
        </w:rPr>
        <w:t>“Sustainability is possible only if we look a</w:t>
      </w:r>
      <w:r>
        <w:rPr>
          <w:rFonts w:ascii="Times New Roman" w:eastAsia="Times New Roman" w:hAnsi="Times New Roman" w:cs="Times New Roman"/>
          <w:sz w:val="24"/>
        </w:rPr>
        <w:t>t the Earth and its resources not only as an investment opportunity but as a trust, passed to us by our ancestors, to be enjoyed and passed on to our descendants for their use. Such a "planetary trust" conveys to us both rights and responsibilities. Most i</w:t>
      </w:r>
      <w:r>
        <w:rPr>
          <w:rFonts w:ascii="Times New Roman" w:eastAsia="Times New Roman" w:hAnsi="Times New Roman" w:cs="Times New Roman"/>
          <w:sz w:val="24"/>
        </w:rPr>
        <w:t>mportantly, it implies that future generations too have rights - although to be sure, these rights have meaning only if we the living respect them and if this respect transcends the differences among countries, religions, and cultures.</w:t>
      </w:r>
    </w:p>
    <w:p w:rsidR="0076502E" w:rsidRDefault="0076502E">
      <w:pPr>
        <w:pStyle w:val="normal0"/>
        <w:spacing w:line="360" w:lineRule="auto"/>
        <w:ind w:left="720"/>
        <w:jc w:val="both"/>
      </w:pPr>
    </w:p>
    <w:p w:rsidR="0076502E" w:rsidRDefault="002C3E60">
      <w:pPr>
        <w:pStyle w:val="normal0"/>
        <w:spacing w:line="360" w:lineRule="auto"/>
        <w:ind w:left="720"/>
        <w:jc w:val="both"/>
      </w:pPr>
      <w:r>
        <w:rPr>
          <w:rFonts w:ascii="Times New Roman" w:eastAsia="Times New Roman" w:hAnsi="Times New Roman" w:cs="Times New Roman"/>
          <w:sz w:val="24"/>
        </w:rPr>
        <w:t xml:space="preserve">The theory of </w:t>
      </w:r>
      <w:r>
        <w:rPr>
          <w:rFonts w:ascii="Times New Roman" w:eastAsia="Times New Roman" w:hAnsi="Times New Roman" w:cs="Times New Roman"/>
          <w:sz w:val="24"/>
        </w:rPr>
        <w:t>intergenerational equity proposed argues that we, the human species, hold the natural environment of our planet in common with all members of our species: past generations, the present generation, and future generations. As members of the present generatio</w:t>
      </w:r>
      <w:r>
        <w:rPr>
          <w:rFonts w:ascii="Times New Roman" w:eastAsia="Times New Roman" w:hAnsi="Times New Roman" w:cs="Times New Roman"/>
          <w:sz w:val="24"/>
        </w:rPr>
        <w:t>n, we hold the Earth in trust for future generations. At the same time, we are beneficiaries entitled to use and benefit from it.</w:t>
      </w:r>
    </w:p>
    <w:p w:rsidR="0076502E" w:rsidRDefault="0076502E">
      <w:pPr>
        <w:pStyle w:val="normal0"/>
        <w:spacing w:line="360" w:lineRule="auto"/>
        <w:ind w:left="720"/>
        <w:jc w:val="both"/>
      </w:pPr>
    </w:p>
    <w:p w:rsidR="0076502E" w:rsidRDefault="002C3E60">
      <w:pPr>
        <w:pStyle w:val="normal0"/>
        <w:spacing w:line="360" w:lineRule="auto"/>
        <w:ind w:left="720"/>
        <w:jc w:val="both"/>
      </w:pPr>
      <w:r>
        <w:rPr>
          <w:rFonts w:ascii="Times New Roman" w:eastAsia="Times New Roman" w:hAnsi="Times New Roman" w:cs="Times New Roman"/>
          <w:sz w:val="24"/>
        </w:rPr>
        <w:t>There are two relationships that must shape any theory of intergenerational equity in the context of our natural environment:</w:t>
      </w:r>
      <w:r>
        <w:rPr>
          <w:rFonts w:ascii="Times New Roman" w:eastAsia="Times New Roman" w:hAnsi="Times New Roman" w:cs="Times New Roman"/>
          <w:sz w:val="24"/>
        </w:rPr>
        <w:t xml:space="preserve"> our relationship to other generations of our own species and our relationship to the natural system of which we are a part. The human species is integrally linked with other parts of the natural system; we affect and are affected by what happens in the sy</w:t>
      </w:r>
      <w:r>
        <w:rPr>
          <w:rFonts w:ascii="Times New Roman" w:eastAsia="Times New Roman" w:hAnsi="Times New Roman" w:cs="Times New Roman"/>
          <w:sz w:val="24"/>
        </w:rPr>
        <w:t>stem. We alone among all living creatures have the capacity to shape significantly our relationship to the environment. We can use it on a sustainable basis or we can degrade environmental quality and deplete the natural-resource base. As the most sentient</w:t>
      </w:r>
      <w:r>
        <w:rPr>
          <w:rFonts w:ascii="Times New Roman" w:eastAsia="Times New Roman" w:hAnsi="Times New Roman" w:cs="Times New Roman"/>
          <w:sz w:val="24"/>
        </w:rPr>
        <w:t xml:space="preserve"> of living creatures, we have a special responsibility to care for the planet.</w:t>
      </w:r>
    </w:p>
    <w:p w:rsidR="0076502E" w:rsidRDefault="0076502E">
      <w:pPr>
        <w:pStyle w:val="normal0"/>
        <w:spacing w:line="360" w:lineRule="auto"/>
        <w:ind w:left="720"/>
        <w:jc w:val="both"/>
      </w:pPr>
    </w:p>
    <w:p w:rsidR="0076502E" w:rsidRDefault="002C3E60">
      <w:pPr>
        <w:pStyle w:val="normal0"/>
        <w:spacing w:line="360" w:lineRule="auto"/>
        <w:ind w:left="720"/>
        <w:jc w:val="both"/>
      </w:pPr>
      <w:r>
        <w:rPr>
          <w:rFonts w:ascii="Times New Roman" w:eastAsia="Times New Roman" w:hAnsi="Times New Roman" w:cs="Times New Roman"/>
          <w:sz w:val="24"/>
        </w:rPr>
        <w:t xml:space="preserve">The second fundamental relationship is that between different generations of the human species. All generations are inherently linked to other generations, past and future, in </w:t>
      </w:r>
      <w:r>
        <w:rPr>
          <w:rFonts w:ascii="Times New Roman" w:eastAsia="Times New Roman" w:hAnsi="Times New Roman" w:cs="Times New Roman"/>
          <w:sz w:val="24"/>
        </w:rPr>
        <w:t xml:space="preserve">using the common patrimony of earth. The theory of intergenerational equity stipulates </w:t>
      </w:r>
      <w:r>
        <w:rPr>
          <w:rFonts w:ascii="Times New Roman" w:eastAsia="Times New Roman" w:hAnsi="Times New Roman" w:cs="Times New Roman"/>
          <w:sz w:val="24"/>
        </w:rPr>
        <w:lastRenderedPageBreak/>
        <w:t xml:space="preserve">that all generations have an equal place in relation to the natural system. There is no basis for preferring the present generation over future generations in their use </w:t>
      </w:r>
      <w:r>
        <w:rPr>
          <w:rFonts w:ascii="Times New Roman" w:eastAsia="Times New Roman" w:hAnsi="Times New Roman" w:cs="Times New Roman"/>
          <w:sz w:val="24"/>
        </w:rPr>
        <w:t>of the planet.</w:t>
      </w:r>
    </w:p>
    <w:p w:rsidR="0076502E" w:rsidRDefault="0076502E">
      <w:pPr>
        <w:pStyle w:val="normal0"/>
        <w:spacing w:line="360" w:lineRule="auto"/>
        <w:ind w:left="720"/>
        <w:jc w:val="both"/>
      </w:pPr>
    </w:p>
    <w:p w:rsidR="0076502E" w:rsidRDefault="002C3E60">
      <w:pPr>
        <w:pStyle w:val="normal0"/>
        <w:spacing w:line="360" w:lineRule="auto"/>
        <w:ind w:left="720"/>
        <w:jc w:val="both"/>
      </w:pPr>
      <w:r>
        <w:rPr>
          <w:rFonts w:ascii="Times New Roman" w:eastAsia="Times New Roman" w:hAnsi="Times New Roman" w:cs="Times New Roman"/>
          <w:sz w:val="24"/>
        </w:rPr>
        <w:t>This premise finds deep roots in international law. The Preamble to the Universal Declaration of Human Rights begins: “Whereas recognition of the inherent dignity and of the equal and inalienable rights of all members of the human family is</w:t>
      </w:r>
      <w:r>
        <w:rPr>
          <w:rFonts w:ascii="Times New Roman" w:eastAsia="Times New Roman" w:hAnsi="Times New Roman" w:cs="Times New Roman"/>
          <w:sz w:val="24"/>
        </w:rPr>
        <w:t xml:space="preserve"> the foundation of freedom, justice and peace in the world... "; the reference to all members of the human family has a temporal dimension, which brings all generations within its scope. The reference to equal and inalienable rights affirms the basic equal</w:t>
      </w:r>
      <w:r>
        <w:rPr>
          <w:rFonts w:ascii="Times New Roman" w:eastAsia="Times New Roman" w:hAnsi="Times New Roman" w:cs="Times New Roman"/>
          <w:sz w:val="24"/>
        </w:rPr>
        <w:t>ity of such generations in the human family.</w:t>
      </w:r>
    </w:p>
    <w:p w:rsidR="0076502E" w:rsidRDefault="0076502E">
      <w:pPr>
        <w:pStyle w:val="normal0"/>
        <w:spacing w:line="360" w:lineRule="auto"/>
        <w:ind w:left="720"/>
        <w:jc w:val="both"/>
      </w:pPr>
    </w:p>
    <w:p w:rsidR="0076502E" w:rsidRDefault="002C3E60">
      <w:pPr>
        <w:pStyle w:val="normal0"/>
        <w:spacing w:line="360" w:lineRule="auto"/>
        <w:ind w:left="720"/>
        <w:jc w:val="both"/>
      </w:pPr>
      <w:r>
        <w:rPr>
          <w:rFonts w:ascii="Times New Roman" w:eastAsia="Times New Roman" w:hAnsi="Times New Roman" w:cs="Times New Roman"/>
          <w:sz w:val="24"/>
        </w:rPr>
        <w:t xml:space="preserve">Partnership between generations is the corollary to equality. It is appropriate to view the human community as a partnership among all generations. In describing a state as a partnership, Edmund Burke observed </w:t>
      </w:r>
      <w:r>
        <w:rPr>
          <w:rFonts w:ascii="Times New Roman" w:eastAsia="Times New Roman" w:hAnsi="Times New Roman" w:cs="Times New Roman"/>
          <w:sz w:val="24"/>
        </w:rPr>
        <w:t>that "as the ends of such a partnership cannot be obtained in many generations, it becomes a partnership not only between those who are living but between those who are living, those who are dead, and those who are to be born." The purpose of human society</w:t>
      </w:r>
      <w:r>
        <w:rPr>
          <w:rFonts w:ascii="Times New Roman" w:eastAsia="Times New Roman" w:hAnsi="Times New Roman" w:cs="Times New Roman"/>
          <w:sz w:val="24"/>
        </w:rPr>
        <w:t xml:space="preserve"> must be to realize and protect the welfare and well-being of every generation, in relation to the natural system, of which it is a part. This requires sustaining the robustness of the planet: the life-support systems and the ecological processes and envir</w:t>
      </w:r>
      <w:r>
        <w:rPr>
          <w:rFonts w:ascii="Times New Roman" w:eastAsia="Times New Roman" w:hAnsi="Times New Roman" w:cs="Times New Roman"/>
          <w:sz w:val="24"/>
        </w:rPr>
        <w:t xml:space="preserve">onmental conditions necessary for a healthy and decent human environment.” </w:t>
      </w:r>
      <w:r>
        <w:rPr>
          <w:rStyle w:val="Footnoteanchor"/>
        </w:rPr>
        <w:footnoteReference w:id="6"/>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sz w:val="24"/>
        </w:rPr>
        <w:t>For many years, neoclassical economists have tried hard to propagate the view that environmental degradation and depletion of natural resources could simply be substituted with w</w:t>
      </w:r>
      <w:r>
        <w:rPr>
          <w:rFonts w:ascii="Times New Roman" w:eastAsia="Times New Roman" w:hAnsi="Times New Roman" w:cs="Times New Roman"/>
          <w:sz w:val="24"/>
        </w:rPr>
        <w:t>ealth creation, and have developed numerous tools to arrive at token monetary values for factoring in the ‘environmental costs’ of mining and other hazardous activities. They have argued that instead of legal intervention, the task of maintaining intergene</w:t>
      </w:r>
      <w:r>
        <w:rPr>
          <w:rFonts w:ascii="Times New Roman" w:eastAsia="Times New Roman" w:hAnsi="Times New Roman" w:cs="Times New Roman"/>
          <w:sz w:val="24"/>
        </w:rPr>
        <w:t>rational equity should be left to the market, making use of some new pricing techniques.</w:t>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sz w:val="24"/>
        </w:rPr>
        <w:t>However, the international consensus is that such tools are woefully inadequate for taking into account the true cost of depletion of scarce resources and of damage t</w:t>
      </w:r>
      <w:r>
        <w:rPr>
          <w:rFonts w:ascii="Times New Roman" w:eastAsia="Times New Roman" w:hAnsi="Times New Roman" w:cs="Times New Roman"/>
          <w:sz w:val="24"/>
        </w:rPr>
        <w:t>o the environment, and have essentially been designed by advocates of Laissez-Faire economics to maintain the status quo.</w:t>
      </w:r>
      <w:r>
        <w:rPr>
          <w:rFonts w:ascii="Times New Roman" w:eastAsia="Times New Roman" w:hAnsi="Times New Roman" w:cs="Times New Roman"/>
          <w:b/>
          <w:sz w:val="24"/>
        </w:rPr>
        <w:t xml:space="preserve"> </w:t>
      </w:r>
      <w:r>
        <w:rPr>
          <w:rFonts w:ascii="Times New Roman" w:eastAsia="Times New Roman" w:hAnsi="Times New Roman" w:cs="Times New Roman"/>
          <w:sz w:val="24"/>
        </w:rPr>
        <w:t>Sharon Beder, has built upon the work of Professor Weiss, and has eloquently argued against ‘Discount rates’ and other econometric too</w:t>
      </w:r>
      <w:r>
        <w:rPr>
          <w:rFonts w:ascii="Times New Roman" w:eastAsia="Times New Roman" w:hAnsi="Times New Roman" w:cs="Times New Roman"/>
          <w:sz w:val="24"/>
        </w:rPr>
        <w:t>ls that were developed to commodify environmental damage. In her paper published in 2000, she listed the reasons for why the onerous task of ensuring intergenerational equity cannot be left to market forces and clever pricing techniques, and why legal inte</w:t>
      </w:r>
      <w:r>
        <w:rPr>
          <w:rFonts w:ascii="Times New Roman" w:eastAsia="Times New Roman" w:hAnsi="Times New Roman" w:cs="Times New Roman"/>
          <w:sz w:val="24"/>
        </w:rPr>
        <w:t>rvention based on ethical principles is essential:</w:t>
      </w:r>
    </w:p>
    <w:p w:rsidR="0076502E" w:rsidRDefault="0076502E">
      <w:pPr>
        <w:pStyle w:val="normal0"/>
        <w:spacing w:line="360" w:lineRule="auto"/>
        <w:jc w:val="both"/>
      </w:pPr>
    </w:p>
    <w:p w:rsidR="0076502E" w:rsidRDefault="002C3E60">
      <w:pPr>
        <w:pStyle w:val="normal0"/>
        <w:spacing w:line="360" w:lineRule="auto"/>
        <w:ind w:left="720"/>
        <w:jc w:val="both"/>
      </w:pPr>
      <w:r>
        <w:rPr>
          <w:rFonts w:ascii="Times New Roman" w:eastAsia="Times New Roman" w:hAnsi="Times New Roman" w:cs="Times New Roman"/>
          <w:sz w:val="24"/>
          <w:shd w:val="clear" w:color="auto" w:fill="FFFFFF"/>
        </w:rPr>
        <w:lastRenderedPageBreak/>
        <w:t>“The idea behind not reducing the ability of future generations to meet their needs is that, although future generations might gain from economic progress, those gains might be more than offset by environ</w:t>
      </w:r>
      <w:r>
        <w:rPr>
          <w:rFonts w:ascii="Times New Roman" w:eastAsia="Times New Roman" w:hAnsi="Times New Roman" w:cs="Times New Roman"/>
          <w:sz w:val="24"/>
          <w:shd w:val="clear" w:color="auto" w:fill="FFFFFF"/>
        </w:rPr>
        <w:t>mental deterioration. Most people would acknowledge a moral obligation to future generations, particularly as people who are not yet born can have no say in decisions taken today that may affect them.</w:t>
      </w:r>
    </w:p>
    <w:p w:rsidR="0076502E" w:rsidRDefault="0076502E">
      <w:pPr>
        <w:pStyle w:val="normal0"/>
        <w:spacing w:line="360" w:lineRule="auto"/>
        <w:ind w:left="720"/>
        <w:jc w:val="both"/>
      </w:pPr>
    </w:p>
    <w:p w:rsidR="0076502E" w:rsidRDefault="002C3E60">
      <w:pPr>
        <w:pStyle w:val="normal0"/>
        <w:spacing w:line="360" w:lineRule="auto"/>
        <w:ind w:left="720"/>
        <w:jc w:val="both"/>
      </w:pPr>
      <w:r>
        <w:rPr>
          <w:rFonts w:ascii="Times New Roman" w:eastAsia="Times New Roman" w:hAnsi="Times New Roman" w:cs="Times New Roman"/>
          <w:sz w:val="24"/>
          <w:shd w:val="clear" w:color="auto" w:fill="FFFFFF"/>
        </w:rPr>
        <w:t>There are two different ways of looking at the need to</w:t>
      </w:r>
      <w:r>
        <w:rPr>
          <w:rFonts w:ascii="Times New Roman" w:eastAsia="Times New Roman" w:hAnsi="Times New Roman" w:cs="Times New Roman"/>
          <w:sz w:val="24"/>
          <w:shd w:val="clear" w:color="auto" w:fill="FFFFFF"/>
        </w:rPr>
        <w:t xml:space="preserve"> ensure that future generations can supply their needs. One is to view the environment in terms of the natural resources or natural capital that is available for wealth creation, and to say that future generations should have the same ability to create wea</w:t>
      </w:r>
      <w:r>
        <w:rPr>
          <w:rFonts w:ascii="Times New Roman" w:eastAsia="Times New Roman" w:hAnsi="Times New Roman" w:cs="Times New Roman"/>
          <w:sz w:val="24"/>
          <w:shd w:val="clear" w:color="auto" w:fill="FFFFFF"/>
        </w:rPr>
        <w:t>lth as we have. Therefore, future generations will be adequately compensated for any loss of environmental amenity by having alternative sources of wealth creation. This is referred to as ‘weak sustainability’. The other way is to view the environment as o</w:t>
      </w:r>
      <w:r>
        <w:rPr>
          <w:rFonts w:ascii="Times New Roman" w:eastAsia="Times New Roman" w:hAnsi="Times New Roman" w:cs="Times New Roman"/>
          <w:sz w:val="24"/>
          <w:shd w:val="clear" w:color="auto" w:fill="FFFFFF"/>
        </w:rPr>
        <w:t xml:space="preserve">ffering more than just economic potential that cannot be replaced by human-made wealth and to argue that future generations should not inherit a degraded environment, no matter how many extra sources of wealth are available to them. This is referred to as </w:t>
      </w:r>
      <w:r>
        <w:rPr>
          <w:rFonts w:ascii="Times New Roman" w:eastAsia="Times New Roman" w:hAnsi="Times New Roman" w:cs="Times New Roman"/>
          <w:sz w:val="24"/>
          <w:shd w:val="clear" w:color="auto" w:fill="FFFFFF"/>
        </w:rPr>
        <w:t>‘strong sustainability’.</w:t>
      </w:r>
    </w:p>
    <w:p w:rsidR="0076502E" w:rsidRDefault="0076502E">
      <w:pPr>
        <w:pStyle w:val="normal0"/>
        <w:spacing w:line="360" w:lineRule="auto"/>
        <w:ind w:left="720"/>
        <w:jc w:val="both"/>
      </w:pPr>
    </w:p>
    <w:p w:rsidR="0076502E" w:rsidRDefault="002C3E60">
      <w:pPr>
        <w:pStyle w:val="normal0"/>
        <w:spacing w:line="360" w:lineRule="auto"/>
        <w:ind w:left="720"/>
        <w:jc w:val="both"/>
      </w:pPr>
      <w:r>
        <w:rPr>
          <w:rFonts w:ascii="Times New Roman" w:eastAsia="Times New Roman" w:hAnsi="Times New Roman" w:cs="Times New Roman"/>
          <w:sz w:val="24"/>
          <w:shd w:val="clear" w:color="auto" w:fill="FFFFFF"/>
        </w:rPr>
        <w:t>There are various reasons why strong sustainability may be preferable to weak sustainability. Closely related reasons are ‘non-substitutability’, ‘uncertainty’ and ‘irreversibility’. There are many types of environmental assets fo</w:t>
      </w:r>
      <w:r>
        <w:rPr>
          <w:rFonts w:ascii="Times New Roman" w:eastAsia="Times New Roman" w:hAnsi="Times New Roman" w:cs="Times New Roman"/>
          <w:sz w:val="24"/>
          <w:shd w:val="clear" w:color="auto" w:fill="FFFFFF"/>
        </w:rPr>
        <w:t>r which there are no substitutes: for example, the ozone layer, the climate-regulating functions of ocean phytoplankton, the watershed protection functions of tropical forests, the pollution-cleaning and nutrient-trap functions of wetlands. For those peopl</w:t>
      </w:r>
      <w:r>
        <w:rPr>
          <w:rFonts w:ascii="Times New Roman" w:eastAsia="Times New Roman" w:hAnsi="Times New Roman" w:cs="Times New Roman"/>
          <w:sz w:val="24"/>
          <w:shd w:val="clear" w:color="auto" w:fill="FFFFFF"/>
        </w:rPr>
        <w:t>e who believe that animals and plants have an intrinsic value, there can be no substitute. We cannot be certain whether or not we will be able to substitute for other environmental assets in the future.</w:t>
      </w:r>
    </w:p>
    <w:p w:rsidR="0076502E" w:rsidRDefault="0076502E">
      <w:pPr>
        <w:pStyle w:val="normal0"/>
        <w:spacing w:line="360" w:lineRule="auto"/>
        <w:ind w:left="720"/>
        <w:jc w:val="both"/>
      </w:pPr>
    </w:p>
    <w:p w:rsidR="0076502E" w:rsidRDefault="002C3E60">
      <w:pPr>
        <w:pStyle w:val="normal0"/>
        <w:spacing w:line="360" w:lineRule="auto"/>
        <w:ind w:left="720"/>
        <w:jc w:val="both"/>
      </w:pPr>
      <w:r>
        <w:rPr>
          <w:rFonts w:ascii="Times New Roman" w:eastAsia="Times New Roman" w:hAnsi="Times New Roman" w:cs="Times New Roman"/>
          <w:sz w:val="24"/>
          <w:shd w:val="clear" w:color="auto" w:fill="FFFFFF"/>
        </w:rPr>
        <w:t xml:space="preserve">Scientific knowledge about the functions of natural </w:t>
      </w:r>
      <w:r>
        <w:rPr>
          <w:rFonts w:ascii="Times New Roman" w:eastAsia="Times New Roman" w:hAnsi="Times New Roman" w:cs="Times New Roman"/>
          <w:sz w:val="24"/>
          <w:shd w:val="clear" w:color="auto" w:fill="FFFFFF"/>
        </w:rPr>
        <w:t>ecosystems and the possible consequences of depleting and degrading them is at best uncertain. The depletion of natural capital can lead to irreversible losses such as species and habitats, which cannot be recreated using man-made capital. Other losses are</w:t>
      </w:r>
      <w:r>
        <w:rPr>
          <w:rFonts w:ascii="Times New Roman" w:eastAsia="Times New Roman" w:hAnsi="Times New Roman" w:cs="Times New Roman"/>
          <w:sz w:val="24"/>
          <w:shd w:val="clear" w:color="auto" w:fill="FFFFFF"/>
        </w:rPr>
        <w:t xml:space="preserve"> not irreversible but repair may take centuries–for example, the ozone layer and soil degradation. Loss of species and ecosystem types also reduces diversity</w:t>
      </w:r>
      <w:r>
        <w:rPr>
          <w:rFonts w:ascii="Times New Roman" w:eastAsia="Times New Roman" w:hAnsi="Times New Roman" w:cs="Times New Roman"/>
          <w:i/>
          <w:sz w:val="24"/>
          <w:shd w:val="clear" w:color="auto" w:fill="FFFFFF"/>
        </w:rPr>
        <w:t xml:space="preserve">. </w:t>
      </w:r>
      <w:r>
        <w:rPr>
          <w:rFonts w:ascii="Times New Roman" w:eastAsia="Times New Roman" w:hAnsi="Times New Roman" w:cs="Times New Roman"/>
          <w:sz w:val="24"/>
          <w:shd w:val="clear" w:color="auto" w:fill="FFFFFF"/>
        </w:rPr>
        <w:t>Diverse ecological and economic systems are more resilient to shocks and stress.”</w:t>
      </w:r>
      <w:r>
        <w:rPr>
          <w:rStyle w:val="Footnoteanchor"/>
        </w:rPr>
        <w:footnoteReference w:id="7"/>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sz w:val="24"/>
        </w:rPr>
        <w:t>In her paper,</w:t>
      </w:r>
      <w:r>
        <w:rPr>
          <w:rFonts w:ascii="Times New Roman" w:eastAsia="Times New Roman" w:hAnsi="Times New Roman" w:cs="Times New Roman"/>
          <w:sz w:val="24"/>
        </w:rPr>
        <w:t xml:space="preserve"> Beder has also discussed, and argued against existing methods of pricing environmental damage by exposing their inadequacies:</w:t>
      </w:r>
    </w:p>
    <w:p w:rsidR="0076502E" w:rsidRDefault="0076502E">
      <w:pPr>
        <w:pStyle w:val="normal0"/>
        <w:spacing w:line="360" w:lineRule="auto"/>
        <w:jc w:val="both"/>
      </w:pPr>
    </w:p>
    <w:p w:rsidR="0076502E" w:rsidRDefault="002C3E60">
      <w:pPr>
        <w:pStyle w:val="normal0"/>
        <w:spacing w:line="360" w:lineRule="auto"/>
        <w:ind w:left="720"/>
        <w:jc w:val="both"/>
      </w:pPr>
      <w:r>
        <w:rPr>
          <w:rFonts w:ascii="Times New Roman" w:eastAsia="Times New Roman" w:hAnsi="Times New Roman" w:cs="Times New Roman"/>
          <w:sz w:val="24"/>
          <w:shd w:val="clear" w:color="auto" w:fill="FFFFFF"/>
        </w:rPr>
        <w:lastRenderedPageBreak/>
        <w:t xml:space="preserve">“Most methods economists use to value the environment try to assess or extrapolate market values. They treat the environment as </w:t>
      </w:r>
      <w:r>
        <w:rPr>
          <w:rFonts w:ascii="Times New Roman" w:eastAsia="Times New Roman" w:hAnsi="Times New Roman" w:cs="Times New Roman"/>
          <w:sz w:val="24"/>
          <w:shd w:val="clear" w:color="auto" w:fill="FFFFFF"/>
        </w:rPr>
        <w:t>a commodity whose market value can be assessed by finding out the public's willingness to pay to preserve the environment. This is done directly through surveys (contingent valuation) where a selection of people are asked what they would pay to protect, fo</w:t>
      </w:r>
      <w:r>
        <w:rPr>
          <w:rFonts w:ascii="Times New Roman" w:eastAsia="Times New Roman" w:hAnsi="Times New Roman" w:cs="Times New Roman"/>
          <w:sz w:val="24"/>
          <w:shd w:val="clear" w:color="auto" w:fill="FFFFFF"/>
        </w:rPr>
        <w:t>r example, a particular area of forest. The responses are averaged and extrapolated to the whole community so that a final dollar total for the forest is arrived at.</w:t>
      </w:r>
    </w:p>
    <w:p w:rsidR="0076502E" w:rsidRDefault="0076502E">
      <w:pPr>
        <w:pStyle w:val="normal0"/>
        <w:spacing w:line="360" w:lineRule="auto"/>
        <w:ind w:left="720"/>
        <w:jc w:val="both"/>
      </w:pPr>
    </w:p>
    <w:p w:rsidR="0076502E" w:rsidRDefault="002C3E60">
      <w:pPr>
        <w:pStyle w:val="normal0"/>
        <w:spacing w:line="360" w:lineRule="auto"/>
        <w:ind w:left="720"/>
        <w:jc w:val="both"/>
      </w:pPr>
      <w:r>
        <w:rPr>
          <w:rFonts w:ascii="Times New Roman" w:eastAsia="Times New Roman" w:hAnsi="Times New Roman" w:cs="Times New Roman"/>
          <w:sz w:val="24"/>
          <w:shd w:val="clear" w:color="auto" w:fill="FFFFFF"/>
        </w:rPr>
        <w:t>The market is a system which advantages those most able to pay. Using the market, whether an actual market or a contrived one, to value the environment tends to produce values that reflect the prevailing distribution of income and denies people an equitabl</w:t>
      </w:r>
      <w:r>
        <w:rPr>
          <w:rFonts w:ascii="Times New Roman" w:eastAsia="Times New Roman" w:hAnsi="Times New Roman" w:cs="Times New Roman"/>
          <w:sz w:val="24"/>
          <w:shd w:val="clear" w:color="auto" w:fill="FFFFFF"/>
        </w:rPr>
        <w:t xml:space="preserve">e influence over their environment.” </w:t>
      </w:r>
      <w:r>
        <w:rPr>
          <w:rStyle w:val="Footnoteanchor"/>
        </w:rPr>
        <w:footnoteReference w:id="8"/>
      </w:r>
      <w:r>
        <w:rPr>
          <w:rFonts w:ascii="Times New Roman" w:eastAsia="Times New Roman" w:hAnsi="Times New Roman" w:cs="Times New Roman"/>
          <w:sz w:val="24"/>
          <w:shd w:val="clear" w:color="auto" w:fill="FFFFFF"/>
        </w:rPr>
        <w:t xml:space="preserve"> (emphasis added)</w:t>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sz w:val="24"/>
        </w:rPr>
        <w:t>Currently, the most widespread method of factoring in environmental damage, or depletion of natural resources, is the ‘Cost Benefit Analysis’ (CBA), which has also been discussed by Beder:</w:t>
      </w:r>
    </w:p>
    <w:p w:rsidR="0076502E" w:rsidRDefault="0076502E">
      <w:pPr>
        <w:pStyle w:val="normal0"/>
        <w:spacing w:line="360" w:lineRule="auto"/>
        <w:jc w:val="both"/>
      </w:pPr>
    </w:p>
    <w:p w:rsidR="0076502E" w:rsidRDefault="002C3E60">
      <w:pPr>
        <w:pStyle w:val="normal0"/>
        <w:spacing w:line="360" w:lineRule="auto"/>
        <w:ind w:left="720"/>
        <w:jc w:val="both"/>
      </w:pPr>
      <w:r>
        <w:rPr>
          <w:rFonts w:ascii="Times New Roman" w:eastAsia="Times New Roman" w:hAnsi="Times New Roman" w:cs="Times New Roman"/>
          <w:sz w:val="24"/>
          <w:shd w:val="clear" w:color="auto" w:fill="FFFFFF"/>
        </w:rPr>
        <w:t>“In a CBA</w:t>
      </w:r>
      <w:r>
        <w:rPr>
          <w:rFonts w:ascii="Times New Roman" w:eastAsia="Times New Roman" w:hAnsi="Times New Roman" w:cs="Times New Roman"/>
          <w:sz w:val="24"/>
          <w:shd w:val="clear" w:color="auto" w:fill="FFFFFF"/>
        </w:rPr>
        <w:t>, the value of future consequences is discounted (reduced). The further the costs are into the future, the less they will be worth in today’s values; yet future generations will still have to put up with them. An extreme example is that of the storage of r</w:t>
      </w:r>
      <w:r>
        <w:rPr>
          <w:rFonts w:ascii="Times New Roman" w:eastAsia="Times New Roman" w:hAnsi="Times New Roman" w:cs="Times New Roman"/>
          <w:sz w:val="24"/>
          <w:shd w:val="clear" w:color="auto" w:fill="FFFFFF"/>
        </w:rPr>
        <w:t>adioactive waste, which can last hundreds of thousands of years into the future. A large cost arising from this waste hundreds of years hence would be worth almost nothing in today’s values. A more commonplace example is the case of re-forestation. ‘Except</w:t>
      </w:r>
      <w:r>
        <w:rPr>
          <w:rFonts w:ascii="Times New Roman" w:eastAsia="Times New Roman" w:hAnsi="Times New Roman" w:cs="Times New Roman"/>
          <w:sz w:val="24"/>
          <w:shd w:val="clear" w:color="auto" w:fill="FFFFFF"/>
        </w:rPr>
        <w:t xml:space="preserve"> at very low discount rates, a tree that takes 40 years to grow would have a very low value today to show against its costs.’ Because costs that are more than thirty years away become almost valueless using discounting at normal rates, long-term environmen</w:t>
      </w:r>
      <w:r>
        <w:rPr>
          <w:rFonts w:ascii="Times New Roman" w:eastAsia="Times New Roman" w:hAnsi="Times New Roman" w:cs="Times New Roman"/>
          <w:sz w:val="24"/>
          <w:shd w:val="clear" w:color="auto" w:fill="FFFFFF"/>
        </w:rPr>
        <w:t>tal costs such as resource depletion may be effectively ignored. Discounting therefore discriminates against future generations by saying that future costs are worth less than present costs.</w:t>
      </w:r>
    </w:p>
    <w:p w:rsidR="0076502E" w:rsidRDefault="0076502E">
      <w:pPr>
        <w:pStyle w:val="normal0"/>
        <w:spacing w:line="360" w:lineRule="auto"/>
        <w:ind w:left="720"/>
        <w:jc w:val="both"/>
      </w:pPr>
    </w:p>
    <w:p w:rsidR="0076502E" w:rsidRDefault="002C3E60">
      <w:pPr>
        <w:pStyle w:val="normal0"/>
        <w:spacing w:line="360" w:lineRule="auto"/>
        <w:ind w:left="720"/>
        <w:jc w:val="both"/>
      </w:pPr>
      <w:r>
        <w:rPr>
          <w:rFonts w:ascii="Times New Roman" w:eastAsia="Times New Roman" w:hAnsi="Times New Roman" w:cs="Times New Roman"/>
          <w:sz w:val="24"/>
          <w:shd w:val="clear" w:color="auto" w:fill="FFFFFF"/>
        </w:rPr>
        <w:t>Discounting occurs because it is assumed that costs and benefits</w:t>
      </w:r>
      <w:r>
        <w:rPr>
          <w:rFonts w:ascii="Times New Roman" w:eastAsia="Times New Roman" w:hAnsi="Times New Roman" w:cs="Times New Roman"/>
          <w:sz w:val="24"/>
          <w:shd w:val="clear" w:color="auto" w:fill="FFFFFF"/>
        </w:rPr>
        <w:t xml:space="preserve"> in the future are not worth as much to people today. This is a direct result of using money as a measure. The logic behind discounting derives from the logic of money–that a person would prefer to receive money now than the same amount in the future. Pear</w:t>
      </w:r>
      <w:r>
        <w:rPr>
          <w:rFonts w:ascii="Times New Roman" w:eastAsia="Times New Roman" w:hAnsi="Times New Roman" w:cs="Times New Roman"/>
          <w:sz w:val="24"/>
          <w:shd w:val="clear" w:color="auto" w:fill="FFFFFF"/>
        </w:rPr>
        <w:t>ce, Markandya and Barbier put forward the following reasons for this</w:t>
      </w:r>
      <w:r>
        <w:rPr>
          <w:rStyle w:val="Footnoteanchor"/>
        </w:rPr>
        <w:footnoteReference w:id="9"/>
      </w:r>
      <w:r>
        <w:rPr>
          <w:rFonts w:ascii="Times New Roman" w:eastAsia="Times New Roman" w:hAnsi="Times New Roman" w:cs="Times New Roman"/>
          <w:sz w:val="24"/>
          <w:shd w:val="clear" w:color="auto" w:fill="FFFFFF"/>
        </w:rPr>
        <w:t>:</w:t>
      </w:r>
    </w:p>
    <w:p w:rsidR="0076502E" w:rsidRDefault="002C3E60">
      <w:pPr>
        <w:pStyle w:val="normal0"/>
        <w:numPr>
          <w:ilvl w:val="0"/>
          <w:numId w:val="2"/>
        </w:numPr>
        <w:spacing w:line="360" w:lineRule="auto"/>
        <w:ind w:left="1440" w:hanging="359"/>
        <w:jc w:val="both"/>
      </w:pPr>
      <w:r>
        <w:rPr>
          <w:rFonts w:ascii="Times New Roman" w:eastAsia="Times New Roman" w:hAnsi="Times New Roman" w:cs="Times New Roman"/>
          <w:sz w:val="24"/>
          <w:shd w:val="clear" w:color="auto" w:fill="FFFFFF"/>
        </w:rPr>
        <w:t>Money obtained now can be invested and earn interest.</w:t>
      </w:r>
    </w:p>
    <w:p w:rsidR="0076502E" w:rsidRDefault="002C3E60">
      <w:pPr>
        <w:pStyle w:val="normal0"/>
        <w:numPr>
          <w:ilvl w:val="0"/>
          <w:numId w:val="2"/>
        </w:numPr>
        <w:spacing w:line="360" w:lineRule="auto"/>
        <w:ind w:left="1440" w:hanging="359"/>
        <w:jc w:val="both"/>
      </w:pPr>
      <w:r>
        <w:rPr>
          <w:rFonts w:ascii="Times New Roman" w:eastAsia="Times New Roman" w:hAnsi="Times New Roman" w:cs="Times New Roman"/>
          <w:sz w:val="24"/>
          <w:shd w:val="clear" w:color="auto" w:fill="FFFFFF"/>
        </w:rPr>
        <w:lastRenderedPageBreak/>
        <w:t>People tend to be impatient.</w:t>
      </w:r>
    </w:p>
    <w:p w:rsidR="0076502E" w:rsidRDefault="002C3E60">
      <w:pPr>
        <w:pStyle w:val="normal0"/>
        <w:numPr>
          <w:ilvl w:val="0"/>
          <w:numId w:val="2"/>
        </w:numPr>
        <w:spacing w:line="360" w:lineRule="auto"/>
        <w:ind w:left="1440" w:hanging="359"/>
        <w:jc w:val="both"/>
      </w:pPr>
      <w:r>
        <w:rPr>
          <w:rFonts w:ascii="Times New Roman" w:eastAsia="Times New Roman" w:hAnsi="Times New Roman" w:cs="Times New Roman"/>
          <w:sz w:val="24"/>
          <w:shd w:val="clear" w:color="auto" w:fill="FFFFFF"/>
        </w:rPr>
        <w:t>The person might die before he or she gets the money.</w:t>
      </w:r>
    </w:p>
    <w:p w:rsidR="0076502E" w:rsidRDefault="002C3E60">
      <w:pPr>
        <w:pStyle w:val="normal0"/>
        <w:numPr>
          <w:ilvl w:val="0"/>
          <w:numId w:val="2"/>
        </w:numPr>
        <w:spacing w:line="360" w:lineRule="auto"/>
        <w:ind w:left="1440" w:hanging="359"/>
        <w:jc w:val="both"/>
      </w:pPr>
      <w:r>
        <w:rPr>
          <w:rFonts w:ascii="Times New Roman" w:eastAsia="Times New Roman" w:hAnsi="Times New Roman" w:cs="Times New Roman"/>
          <w:sz w:val="24"/>
          <w:shd w:val="clear" w:color="auto" w:fill="FFFFFF"/>
        </w:rPr>
        <w:t>One cannot be sure of getting the money in the f</w:t>
      </w:r>
      <w:r>
        <w:rPr>
          <w:rFonts w:ascii="Times New Roman" w:eastAsia="Times New Roman" w:hAnsi="Times New Roman" w:cs="Times New Roman"/>
          <w:sz w:val="24"/>
          <w:shd w:val="clear" w:color="auto" w:fill="FFFFFF"/>
        </w:rPr>
        <w:t>uture.</w:t>
      </w:r>
    </w:p>
    <w:p w:rsidR="0076502E" w:rsidRDefault="002C3E60">
      <w:pPr>
        <w:pStyle w:val="normal0"/>
        <w:numPr>
          <w:ilvl w:val="0"/>
          <w:numId w:val="2"/>
        </w:numPr>
        <w:spacing w:line="360" w:lineRule="auto"/>
        <w:ind w:left="1440" w:hanging="359"/>
        <w:jc w:val="both"/>
      </w:pPr>
      <w:r>
        <w:rPr>
          <w:rFonts w:ascii="Times New Roman" w:eastAsia="Times New Roman" w:hAnsi="Times New Roman" w:cs="Times New Roman"/>
          <w:sz w:val="24"/>
          <w:shd w:val="clear" w:color="auto" w:fill="FFFFFF"/>
        </w:rPr>
        <w:t>People in the future will probably be better off; money will not be worth as much then.</w:t>
      </w:r>
    </w:p>
    <w:p w:rsidR="0076502E" w:rsidRDefault="002C3E60">
      <w:pPr>
        <w:pStyle w:val="normal0"/>
        <w:spacing w:line="360" w:lineRule="auto"/>
        <w:ind w:left="720"/>
        <w:jc w:val="both"/>
      </w:pPr>
      <w:r>
        <w:rPr>
          <w:rFonts w:ascii="Times New Roman" w:eastAsia="Times New Roman" w:hAnsi="Times New Roman" w:cs="Times New Roman"/>
          <w:sz w:val="24"/>
          <w:shd w:val="clear" w:color="auto" w:fill="FFFFFF"/>
        </w:rPr>
        <w:t xml:space="preserve">The idea that someone would like to consume now rather than in the future is not applicable to public goods which can be enjoyed now </w:t>
      </w:r>
      <w:r>
        <w:rPr>
          <w:rFonts w:ascii="Times New Roman" w:eastAsia="Times New Roman" w:hAnsi="Times New Roman" w:cs="Times New Roman"/>
          <w:i/>
          <w:sz w:val="24"/>
          <w:shd w:val="clear" w:color="auto" w:fill="FFFFFF"/>
        </w:rPr>
        <w:t>and</w:t>
      </w:r>
      <w:r>
        <w:rPr>
          <w:rFonts w:ascii="Times New Roman" w:eastAsia="Times New Roman" w:hAnsi="Times New Roman" w:cs="Times New Roman"/>
          <w:sz w:val="24"/>
          <w:shd w:val="clear" w:color="auto" w:fill="FFFFFF"/>
        </w:rPr>
        <w:t xml:space="preserve"> in the future. Also soci</w:t>
      </w:r>
      <w:r>
        <w:rPr>
          <w:rFonts w:ascii="Times New Roman" w:eastAsia="Times New Roman" w:hAnsi="Times New Roman" w:cs="Times New Roman"/>
          <w:sz w:val="24"/>
          <w:shd w:val="clear" w:color="auto" w:fill="FFFFFF"/>
        </w:rPr>
        <w:t>ety gets the benefits of environmental preservation, and therefore the risk of one person dying before he or she gets the benefits is meaningless. Any positive discount rate devalues future environmental losses and this disadvantages future generations wit</w:t>
      </w:r>
      <w:r>
        <w:rPr>
          <w:rFonts w:ascii="Times New Roman" w:eastAsia="Times New Roman" w:hAnsi="Times New Roman" w:cs="Times New Roman"/>
          <w:sz w:val="24"/>
          <w:shd w:val="clear" w:color="auto" w:fill="FFFFFF"/>
        </w:rPr>
        <w:t>h respect to today’s decisions.</w:t>
      </w:r>
    </w:p>
    <w:p w:rsidR="0076502E" w:rsidRDefault="0076502E">
      <w:pPr>
        <w:pStyle w:val="normal0"/>
        <w:spacing w:line="360" w:lineRule="auto"/>
        <w:ind w:left="720"/>
        <w:jc w:val="both"/>
      </w:pPr>
    </w:p>
    <w:p w:rsidR="0076502E" w:rsidRDefault="002C3E60">
      <w:pPr>
        <w:pStyle w:val="normal0"/>
        <w:spacing w:line="360" w:lineRule="auto"/>
        <w:ind w:left="720"/>
        <w:jc w:val="both"/>
      </w:pPr>
      <w:r>
        <w:rPr>
          <w:rFonts w:ascii="Times New Roman" w:eastAsia="Times New Roman" w:hAnsi="Times New Roman" w:cs="Times New Roman"/>
          <w:sz w:val="24"/>
          <w:shd w:val="clear" w:color="auto" w:fill="FFFFFF"/>
        </w:rPr>
        <w:t>CBA also rests on the assumption, inherent in weak sustainability, that environmental assets can be substituted by human-made assets that can be bought on the market and all that matters in the end is that the aggregate gai</w:t>
      </w:r>
      <w:r>
        <w:rPr>
          <w:rFonts w:ascii="Times New Roman" w:eastAsia="Times New Roman" w:hAnsi="Times New Roman" w:cs="Times New Roman"/>
          <w:sz w:val="24"/>
          <w:shd w:val="clear" w:color="auto" w:fill="FFFFFF"/>
        </w:rPr>
        <w:t>ns outweigh the aggregated losses. If a project generates more wealth than the calculated monetary costs of environmental damage, then the project should go ahead. The loss of environmental amenity is made up for by the wealth that is generated.</w:t>
      </w:r>
    </w:p>
    <w:p w:rsidR="0076502E" w:rsidRDefault="0076502E">
      <w:pPr>
        <w:pStyle w:val="normal0"/>
        <w:spacing w:line="360" w:lineRule="auto"/>
        <w:ind w:left="720"/>
        <w:jc w:val="both"/>
      </w:pPr>
    </w:p>
    <w:p w:rsidR="0076502E" w:rsidRDefault="002C3E60">
      <w:pPr>
        <w:pStyle w:val="normal0"/>
        <w:spacing w:line="360" w:lineRule="auto"/>
        <w:ind w:left="720"/>
        <w:jc w:val="both"/>
      </w:pPr>
      <w:r>
        <w:rPr>
          <w:rFonts w:ascii="Times New Roman" w:eastAsia="Times New Roman" w:hAnsi="Times New Roman" w:cs="Times New Roman"/>
          <w:sz w:val="24"/>
          <w:shd w:val="clear" w:color="auto" w:fill="FFFFFF"/>
        </w:rPr>
        <w:t xml:space="preserve">The idea </w:t>
      </w:r>
      <w:r>
        <w:rPr>
          <w:rFonts w:ascii="Times New Roman" w:eastAsia="Times New Roman" w:hAnsi="Times New Roman" w:cs="Times New Roman"/>
          <w:sz w:val="24"/>
          <w:shd w:val="clear" w:color="auto" w:fill="FFFFFF"/>
        </w:rPr>
        <w:t>of passing on an equivalent stock of goods to future generations that may contain fewer environmental goods and more human-created sources of wealth is embodied in the use of cost—benefit analysis. Pearce argues that the requirement to keep the total amoun</w:t>
      </w:r>
      <w:r>
        <w:rPr>
          <w:rFonts w:ascii="Times New Roman" w:eastAsia="Times New Roman" w:hAnsi="Times New Roman" w:cs="Times New Roman"/>
          <w:sz w:val="24"/>
          <w:shd w:val="clear" w:color="auto" w:fill="FFFFFF"/>
        </w:rPr>
        <w:t>t of capital constant ‘is consistent with "running down" natural capital–i.e. with environmental degradation’ as long as human-made capital can be substituted for natural capital. He says that this means that the Amazon forest can be removed so long as the</w:t>
      </w:r>
      <w:r>
        <w:rPr>
          <w:rFonts w:ascii="Times New Roman" w:eastAsia="Times New Roman" w:hAnsi="Times New Roman" w:cs="Times New Roman"/>
          <w:sz w:val="24"/>
          <w:shd w:val="clear" w:color="auto" w:fill="FFFFFF"/>
        </w:rPr>
        <w:t xml:space="preserve"> proceeds from removing it ‘are reinvested to build up some other form of capital.”</w:t>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sz w:val="24"/>
        </w:rPr>
        <w:t>In Conclusion, Beder says the following:</w:t>
      </w:r>
    </w:p>
    <w:p w:rsidR="0076502E" w:rsidRDefault="0076502E">
      <w:pPr>
        <w:pStyle w:val="normal0"/>
        <w:spacing w:line="360" w:lineRule="auto"/>
        <w:jc w:val="both"/>
      </w:pPr>
    </w:p>
    <w:p w:rsidR="0076502E" w:rsidRDefault="002C3E60">
      <w:pPr>
        <w:pStyle w:val="normal0"/>
        <w:spacing w:line="360" w:lineRule="auto"/>
        <w:ind w:left="720"/>
        <w:jc w:val="both"/>
      </w:pPr>
      <w:r>
        <w:rPr>
          <w:rFonts w:ascii="Times New Roman" w:eastAsia="Times New Roman" w:hAnsi="Times New Roman" w:cs="Times New Roman"/>
          <w:sz w:val="24"/>
          <w:shd w:val="clear" w:color="auto" w:fill="FFFFFF"/>
        </w:rPr>
        <w:t>“In a myriad of ways the approaches to sustainable development advocated by environmental economists, and taken up by governments</w:t>
      </w:r>
      <w:r>
        <w:rPr>
          <w:rFonts w:ascii="Times New Roman" w:eastAsia="Times New Roman" w:hAnsi="Times New Roman" w:cs="Times New Roman"/>
          <w:sz w:val="24"/>
          <w:shd w:val="clear" w:color="auto" w:fill="FFFFFF"/>
        </w:rPr>
        <w:t xml:space="preserve"> in many countries, either reinforce or exacerbate inequities in those countries. Yet equity is supposed to be a central ethical principle of sustainable development. This suggests that either equity is merely part of the rhetoric of sustainable developmen</w:t>
      </w:r>
      <w:r>
        <w:rPr>
          <w:rFonts w:ascii="Times New Roman" w:eastAsia="Times New Roman" w:hAnsi="Times New Roman" w:cs="Times New Roman"/>
          <w:sz w:val="24"/>
          <w:shd w:val="clear" w:color="auto" w:fill="FFFFFF"/>
        </w:rPr>
        <w:t>t and is not really a central concern of those governments, or those governments have not understood the equity consequences of policies being promoted by those who have other agendas and priorities.</w:t>
      </w:r>
    </w:p>
    <w:p w:rsidR="0076502E" w:rsidRDefault="002C3E60">
      <w:pPr>
        <w:pStyle w:val="normal0"/>
        <w:spacing w:line="360" w:lineRule="auto"/>
        <w:ind w:left="720" w:firstLine="720"/>
        <w:jc w:val="both"/>
      </w:pPr>
      <w:r>
        <w:rPr>
          <w:rFonts w:ascii="Times New Roman" w:eastAsia="Times New Roman" w:hAnsi="Times New Roman" w:cs="Times New Roman"/>
          <w:sz w:val="24"/>
          <w:shd w:val="clear" w:color="auto" w:fill="FFFFFF"/>
        </w:rPr>
        <w:t>If equity is to be taken seriously then new ways of deci</w:t>
      </w:r>
      <w:r>
        <w:rPr>
          <w:rFonts w:ascii="Times New Roman" w:eastAsia="Times New Roman" w:hAnsi="Times New Roman" w:cs="Times New Roman"/>
          <w:sz w:val="24"/>
          <w:shd w:val="clear" w:color="auto" w:fill="FFFFFF"/>
        </w:rPr>
        <w:t xml:space="preserve">sion-making must be found that enable the multifaceted values associated with the environment to be fully considered </w:t>
      </w:r>
      <w:r>
        <w:rPr>
          <w:rFonts w:ascii="Times New Roman" w:eastAsia="Times New Roman" w:hAnsi="Times New Roman" w:cs="Times New Roman"/>
          <w:sz w:val="24"/>
          <w:shd w:val="clear" w:color="auto" w:fill="FFFFFF"/>
        </w:rPr>
        <w:lastRenderedPageBreak/>
        <w:t>and heeded. Clearly, merely extending market values to incorporate the environment into existing economic systems will not achieve this.”</w:t>
      </w:r>
      <w:r>
        <w:rPr>
          <w:rStyle w:val="Footnoteanchor"/>
        </w:rPr>
        <w:footnoteReference w:id="10"/>
      </w:r>
    </w:p>
    <w:p w:rsidR="0076502E" w:rsidRDefault="0076502E">
      <w:pPr>
        <w:pStyle w:val="normal0"/>
        <w:spacing w:line="360" w:lineRule="auto"/>
        <w:ind w:left="720" w:firstLine="720"/>
        <w:jc w:val="both"/>
      </w:pPr>
    </w:p>
    <w:p w:rsidR="0076502E" w:rsidRDefault="002C3E60">
      <w:pPr>
        <w:pStyle w:val="normal0"/>
        <w:spacing w:line="360" w:lineRule="auto"/>
        <w:jc w:val="both"/>
      </w:pPr>
      <w:r>
        <w:rPr>
          <w:rFonts w:ascii="Times New Roman" w:eastAsia="Times New Roman" w:hAnsi="Times New Roman" w:cs="Times New Roman"/>
          <w:sz w:val="24"/>
        </w:rPr>
        <w:t>There have also been some suggestions to appoint an Ombudsman for future generations in order to safeguard their rights and interests:</w:t>
      </w:r>
    </w:p>
    <w:p w:rsidR="0076502E" w:rsidRDefault="002C3E60">
      <w:pPr>
        <w:spacing w:line="360" w:lineRule="auto"/>
        <w:ind w:left="720"/>
      </w:pPr>
      <w:r>
        <w:rPr>
          <w:rFonts w:ascii="Times New Roman" w:hAnsi="Times New Roman"/>
          <w:color w:val="222222"/>
          <w:sz w:val="24"/>
          <w:szCs w:val="27"/>
          <w:shd w:val="clear" w:color="auto" w:fill="FFFFFF"/>
        </w:rPr>
        <w:t>The World Future Council of the United Nations has recommended the appointment of “Ombudspersons for Future Generations”</w:t>
      </w:r>
      <w:r>
        <w:rPr>
          <w:rFonts w:ascii="Times New Roman" w:hAnsi="Times New Roman"/>
          <w:color w:val="222222"/>
          <w:sz w:val="24"/>
          <w:szCs w:val="27"/>
          <w:shd w:val="clear" w:color="auto" w:fill="FFFFFF"/>
        </w:rPr>
        <w:t xml:space="preserve"> at all governance levels to ensure that this reality of the planet’s fragile ecosystem and its finite supply of resources “is not blinded by short-term interests or tempting profiteering and short-cuts.” It emphasizes that “developing such an institution </w:t>
      </w:r>
      <w:r>
        <w:rPr>
          <w:rFonts w:ascii="Times New Roman" w:hAnsi="Times New Roman"/>
          <w:color w:val="222222"/>
          <w:sz w:val="24"/>
          <w:szCs w:val="27"/>
          <w:shd w:val="clear" w:color="auto" w:fill="FFFFFF"/>
        </w:rPr>
        <w:t>would by no means be a prioritization of people’s future needs over their current ones.” The mission of the Ombudsperson should be “to promote and protect the interest of the future generations in the context of meeting the needs of the present, without co</w:t>
      </w:r>
      <w:r>
        <w:rPr>
          <w:rFonts w:ascii="Times New Roman" w:hAnsi="Times New Roman"/>
          <w:color w:val="222222"/>
          <w:sz w:val="24"/>
          <w:szCs w:val="27"/>
          <w:shd w:val="clear" w:color="auto" w:fill="FFFFFF"/>
        </w:rPr>
        <w:t>mpromising the ability of the future generations to meet their own needs. This is in line with the Brundtland Commission’s definition of sustainable development.”</w:t>
      </w:r>
      <w:r>
        <w:rPr>
          <w:rStyle w:val="Footnoteanchor"/>
        </w:rPr>
        <w:footnoteReference w:id="11"/>
      </w:r>
      <w:r>
        <w:rPr>
          <w:rFonts w:ascii="Arial" w:hAnsi="Arial"/>
          <w:color w:val="222222"/>
          <w:sz w:val="27"/>
          <w:szCs w:val="27"/>
          <w:shd w:val="clear" w:color="auto" w:fill="FFFFFF"/>
        </w:rPr>
        <w:t xml:space="preserve"> </w:t>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b/>
          <w:sz w:val="24"/>
        </w:rPr>
        <w:t>Role of the Judiciary:-</w:t>
      </w:r>
      <w:r>
        <w:rPr>
          <w:rFonts w:ascii="Times New Roman" w:eastAsia="Times New Roman" w:hAnsi="Times New Roman" w:cs="Times New Roman"/>
          <w:sz w:val="24"/>
        </w:rPr>
        <w:t xml:space="preserve"> </w:t>
      </w:r>
    </w:p>
    <w:p w:rsidR="0076502E" w:rsidRDefault="002C3E60">
      <w:pPr>
        <w:pStyle w:val="normal0"/>
        <w:spacing w:line="360" w:lineRule="auto"/>
        <w:jc w:val="both"/>
      </w:pPr>
      <w:r>
        <w:rPr>
          <w:rFonts w:ascii="Times New Roman" w:eastAsia="Times New Roman" w:hAnsi="Times New Roman" w:cs="Times New Roman"/>
          <w:sz w:val="24"/>
        </w:rPr>
        <w:t>The Executive Director of the United Nations Environment Programm</w:t>
      </w:r>
      <w:r>
        <w:rPr>
          <w:rFonts w:ascii="Times New Roman" w:eastAsia="Times New Roman" w:hAnsi="Times New Roman" w:cs="Times New Roman"/>
          <w:sz w:val="24"/>
        </w:rPr>
        <w:t xml:space="preserve">e (UNEP), stated in his </w:t>
      </w:r>
    </w:p>
    <w:p w:rsidR="0076502E" w:rsidRDefault="002C3E60">
      <w:pPr>
        <w:pStyle w:val="normal0"/>
        <w:spacing w:line="360" w:lineRule="auto"/>
        <w:jc w:val="both"/>
      </w:pPr>
      <w:r>
        <w:rPr>
          <w:rFonts w:ascii="Times New Roman" w:eastAsia="Times New Roman" w:hAnsi="Times New Roman" w:cs="Times New Roman"/>
          <w:sz w:val="24"/>
        </w:rPr>
        <w:t>message to the UNEP Global Judges Programme:</w:t>
      </w:r>
    </w:p>
    <w:p w:rsidR="0076502E" w:rsidRDefault="002C3E60">
      <w:pPr>
        <w:pStyle w:val="normal0"/>
        <w:spacing w:line="360" w:lineRule="auto"/>
        <w:ind w:left="720"/>
        <w:jc w:val="both"/>
      </w:pPr>
      <w:r>
        <w:rPr>
          <w:rFonts w:ascii="Times New Roman" w:eastAsia="Times New Roman" w:hAnsi="Times New Roman" w:cs="Times New Roman"/>
          <w:sz w:val="24"/>
        </w:rPr>
        <w:t>“Success in tackling environmental degradation relies on the full participation of everyone in society. It is essential, therefore, to forge a global partnership among all relevant stake</w:t>
      </w:r>
      <w:r>
        <w:rPr>
          <w:rFonts w:ascii="Times New Roman" w:eastAsia="Times New Roman" w:hAnsi="Times New Roman" w:cs="Times New Roman"/>
          <w:sz w:val="24"/>
        </w:rPr>
        <w:t>holders for the protection of the environment based on the affirmation of the human values set out in the United Nations Millennium Declaration: freedom, equality, solidarity, tolerance, respect for nature and shared responsibility. The judiciary plays a k</w:t>
      </w:r>
      <w:r>
        <w:rPr>
          <w:rFonts w:ascii="Times New Roman" w:eastAsia="Times New Roman" w:hAnsi="Times New Roman" w:cs="Times New Roman"/>
          <w:sz w:val="24"/>
        </w:rPr>
        <w:t xml:space="preserve">ey role in weaving these values into the fabric of our societies. </w:t>
      </w:r>
    </w:p>
    <w:p w:rsidR="0076502E" w:rsidRDefault="002C3E60">
      <w:pPr>
        <w:pStyle w:val="normal0"/>
        <w:spacing w:line="360" w:lineRule="auto"/>
        <w:ind w:left="720"/>
        <w:jc w:val="both"/>
      </w:pPr>
      <w:r>
        <w:rPr>
          <w:rFonts w:ascii="Times New Roman" w:eastAsia="Times New Roman" w:hAnsi="Times New Roman" w:cs="Times New Roman"/>
          <w:sz w:val="24"/>
        </w:rPr>
        <w:t>The judiciary is also a crucial partner in promoting environmental governance, upholding the rule of law and in ensuring a fair balance between environmental, social and developmental consi</w:t>
      </w:r>
      <w:r>
        <w:rPr>
          <w:rFonts w:ascii="Times New Roman" w:eastAsia="Times New Roman" w:hAnsi="Times New Roman" w:cs="Times New Roman"/>
          <w:sz w:val="24"/>
        </w:rPr>
        <w:t>deration through its judgements and declarations”.</w:t>
      </w:r>
      <w:r>
        <w:rPr>
          <w:rStyle w:val="Footnoteanchor"/>
        </w:rPr>
        <w:footnoteReference w:id="12"/>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sz w:val="24"/>
        </w:rPr>
        <w:t>The concepts of intergenerational and intragenerational equity are an integral element of ecologically sustainable development, and have been incorporated into international law as such.</w:t>
      </w:r>
      <w:r>
        <w:rPr>
          <w:rStyle w:val="Footnoteanchor"/>
        </w:rPr>
        <w:footnoteReference w:id="13"/>
      </w:r>
      <w:r>
        <w:rPr>
          <w:rFonts w:ascii="Times New Roman" w:eastAsia="Times New Roman" w:hAnsi="Times New Roman" w:cs="Times New Roman"/>
          <w:sz w:val="24"/>
        </w:rPr>
        <w:t xml:space="preserve"> The 1975 Charter of Economic Rights and Duties of States declared that: </w:t>
      </w:r>
    </w:p>
    <w:p w:rsidR="0076502E" w:rsidRDefault="002C3E60">
      <w:pPr>
        <w:pStyle w:val="normal0"/>
        <w:spacing w:line="360" w:lineRule="auto"/>
        <w:ind w:left="720"/>
        <w:jc w:val="both"/>
      </w:pPr>
      <w:r>
        <w:rPr>
          <w:rFonts w:ascii="Times New Roman" w:eastAsia="Times New Roman" w:hAnsi="Times New Roman" w:cs="Times New Roman"/>
          <w:sz w:val="24"/>
        </w:rPr>
        <w:lastRenderedPageBreak/>
        <w:t>“The protection, preservation and enhancement of the environment for the present and future generations is the responsibility of all States. All States shall endeavour to establish t</w:t>
      </w:r>
      <w:r>
        <w:rPr>
          <w:rFonts w:ascii="Times New Roman" w:eastAsia="Times New Roman" w:hAnsi="Times New Roman" w:cs="Times New Roman"/>
          <w:sz w:val="24"/>
        </w:rPr>
        <w:t>heir own environmental and developmental policies in conformity with such responsibility. The environmental policies of all States shall enhance and not adversely affect the present and future development potential of developing countries”.</w:t>
      </w:r>
      <w:r>
        <w:rPr>
          <w:rStyle w:val="Footnoteanchor"/>
        </w:rPr>
        <w:footnoteReference w:id="14"/>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sz w:val="24"/>
        </w:rPr>
        <w:t>Similarly, th</w:t>
      </w:r>
      <w:r>
        <w:rPr>
          <w:rFonts w:ascii="Times New Roman" w:eastAsia="Times New Roman" w:hAnsi="Times New Roman" w:cs="Times New Roman"/>
          <w:sz w:val="24"/>
        </w:rPr>
        <w:t xml:space="preserve">e concepts of intergenerational and intragenerational equity are enshrined in Principle 3 of the 1992 Rio Declaration which provides that: </w:t>
      </w:r>
    </w:p>
    <w:p w:rsidR="0076502E" w:rsidRDefault="002C3E60">
      <w:pPr>
        <w:pStyle w:val="normal0"/>
        <w:spacing w:line="360" w:lineRule="auto"/>
        <w:ind w:left="720"/>
        <w:jc w:val="both"/>
      </w:pPr>
      <w:r>
        <w:rPr>
          <w:rFonts w:ascii="Times New Roman" w:eastAsia="Times New Roman" w:hAnsi="Times New Roman" w:cs="Times New Roman"/>
          <w:sz w:val="24"/>
        </w:rPr>
        <w:t>“the right to development must be fulfilled so as to equitably meet developmental and environmental needs of present</w:t>
      </w:r>
      <w:r>
        <w:rPr>
          <w:rFonts w:ascii="Times New Roman" w:eastAsia="Times New Roman" w:hAnsi="Times New Roman" w:cs="Times New Roman"/>
          <w:sz w:val="24"/>
        </w:rPr>
        <w:t xml:space="preserve"> and future generations”. </w:t>
      </w:r>
    </w:p>
    <w:p w:rsidR="0076502E" w:rsidRDefault="0076502E">
      <w:pPr>
        <w:pStyle w:val="normal0"/>
        <w:spacing w:line="360" w:lineRule="auto"/>
        <w:jc w:val="both"/>
      </w:pP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b/>
          <w:sz w:val="24"/>
        </w:rPr>
        <w:t>Judicial Decisions: -</w:t>
      </w:r>
    </w:p>
    <w:p w:rsidR="0076502E" w:rsidRDefault="002C3E60">
      <w:pPr>
        <w:pStyle w:val="normal0"/>
        <w:spacing w:line="360" w:lineRule="auto"/>
        <w:jc w:val="both"/>
      </w:pPr>
      <w:r>
        <w:rPr>
          <w:rFonts w:ascii="Times New Roman" w:eastAsia="Times New Roman" w:hAnsi="Times New Roman" w:cs="Times New Roman"/>
          <w:sz w:val="24"/>
        </w:rPr>
        <w:t xml:space="preserve">1) In the landmark decision of the Supreme Court of the Philippines, </w:t>
      </w:r>
      <w:r>
        <w:rPr>
          <w:rFonts w:ascii="Times New Roman" w:eastAsia="Times New Roman" w:hAnsi="Times New Roman" w:cs="Times New Roman"/>
          <w:b/>
          <w:i/>
          <w:sz w:val="24"/>
        </w:rPr>
        <w:t>Minors Oposa v Secretary of the Department of Environment and Natural Resources</w:t>
      </w:r>
      <w:r>
        <w:rPr>
          <w:rStyle w:val="Footnoteanchor"/>
        </w:rPr>
        <w:footnoteReference w:id="15"/>
      </w:r>
      <w:r>
        <w:rPr>
          <w:rFonts w:ascii="Times New Roman" w:eastAsia="Times New Roman" w:hAnsi="Times New Roman" w:cs="Times New Roman"/>
          <w:sz w:val="24"/>
        </w:rPr>
        <w:t>, the plaintiffs were minors represented by their parent</w:t>
      </w:r>
      <w:r>
        <w:rPr>
          <w:rFonts w:ascii="Times New Roman" w:eastAsia="Times New Roman" w:hAnsi="Times New Roman" w:cs="Times New Roman"/>
          <w:sz w:val="24"/>
        </w:rPr>
        <w:t xml:space="preserve">s. They sought an order that the government discontinue existing and further timber licence agreements, alleging that deforestation was causing environmental damage. The government argued that the plaintiffs had failed to state a cause of action, that the </w:t>
      </w:r>
      <w:r>
        <w:rPr>
          <w:rFonts w:ascii="Times New Roman" w:eastAsia="Times New Roman" w:hAnsi="Times New Roman" w:cs="Times New Roman"/>
          <w:sz w:val="24"/>
        </w:rPr>
        <w:t>issues raised were non justiciable and political and that the existing licences could not be cancelled without violating due process of law. The trial court upheld the government’s contentions and dismissed the complaint. The plaintiffs filed an action for</w:t>
      </w:r>
      <w:r>
        <w:rPr>
          <w:rFonts w:ascii="Times New Roman" w:eastAsia="Times New Roman" w:hAnsi="Times New Roman" w:cs="Times New Roman"/>
          <w:sz w:val="24"/>
        </w:rPr>
        <w:t xml:space="preserve"> certiorari asking the Supreme Court to rescind and set aside the dismissal order. The Supreme Court held that the case brought by the plaintiffs constituted a class suit, not merely because the plaintiffs were numerous and representative enough to ensure </w:t>
      </w:r>
      <w:r>
        <w:rPr>
          <w:rFonts w:ascii="Times New Roman" w:eastAsia="Times New Roman" w:hAnsi="Times New Roman" w:cs="Times New Roman"/>
          <w:sz w:val="24"/>
        </w:rPr>
        <w:t>the full protection of all concerned interests but also because the plaintiffs represented present and future generations</w:t>
      </w:r>
      <w:r>
        <w:rPr>
          <w:rStyle w:val="Footnoteanchor"/>
        </w:rPr>
        <w:footnoteReference w:id="16"/>
      </w:r>
      <w:r>
        <w:rPr>
          <w:rFonts w:ascii="Times New Roman" w:eastAsia="Times New Roman" w:hAnsi="Times New Roman" w:cs="Times New Roman"/>
          <w:sz w:val="24"/>
        </w:rPr>
        <w:t xml:space="preserve">: </w:t>
      </w:r>
    </w:p>
    <w:p w:rsidR="0076502E" w:rsidRDefault="002C3E60">
      <w:pPr>
        <w:pStyle w:val="normal0"/>
        <w:spacing w:line="360" w:lineRule="auto"/>
        <w:ind w:left="720"/>
        <w:jc w:val="both"/>
      </w:pPr>
      <w:r>
        <w:rPr>
          <w:rFonts w:ascii="Times New Roman" w:eastAsia="Times New Roman" w:hAnsi="Times New Roman" w:cs="Times New Roman"/>
          <w:sz w:val="24"/>
        </w:rPr>
        <w:t xml:space="preserve">“We find no difficulty in ruling that they can, for themselves, for others of their generation and for the succeeding generations, </w:t>
      </w:r>
      <w:r>
        <w:rPr>
          <w:rFonts w:ascii="Times New Roman" w:eastAsia="Times New Roman" w:hAnsi="Times New Roman" w:cs="Times New Roman"/>
          <w:sz w:val="24"/>
        </w:rPr>
        <w:t>file a class suit. Their personality to sue on behalf of the succeeding generations can only be based on the concept of intergenerational responsibility insofar as the right to a balanced and healthful ecology is concerned. Such a right, as hereinafter exp</w:t>
      </w:r>
      <w:r>
        <w:rPr>
          <w:rFonts w:ascii="Times New Roman" w:eastAsia="Times New Roman" w:hAnsi="Times New Roman" w:cs="Times New Roman"/>
          <w:sz w:val="24"/>
        </w:rPr>
        <w:t xml:space="preserve">ounded, considers the ‘rhythm and harmony of </w:t>
      </w:r>
      <w:r>
        <w:rPr>
          <w:rFonts w:ascii="Times New Roman" w:eastAsia="Times New Roman" w:hAnsi="Times New Roman" w:cs="Times New Roman"/>
          <w:sz w:val="24"/>
        </w:rPr>
        <w:lastRenderedPageBreak/>
        <w:t>nature’. Nature means the created world in its entirety. Such rhythm and harmony indispensably include inter alia, the judicious disposition, utilization, management, renewal and conservation of the country’s fo</w:t>
      </w:r>
      <w:r>
        <w:rPr>
          <w:rFonts w:ascii="Times New Roman" w:eastAsia="Times New Roman" w:hAnsi="Times New Roman" w:cs="Times New Roman"/>
          <w:sz w:val="24"/>
        </w:rPr>
        <w:t>rest, mineral, land, waters, fisheries, wildlife, off-shore areas and other natural resources to the end that their exploration, development and utilization be equitably accessible to the present as well as future generations. Needless to say, every genera</w:t>
      </w:r>
      <w:r>
        <w:rPr>
          <w:rFonts w:ascii="Times New Roman" w:eastAsia="Times New Roman" w:hAnsi="Times New Roman" w:cs="Times New Roman"/>
          <w:sz w:val="24"/>
        </w:rPr>
        <w:t>tion has a responsibility to the next to preserve that rhythm and harmony for the full enjoyment of a balanced and healthful ecology. Put a little differently, the minors assertion of their right to a sound environment constitutes, at the same time, the pe</w:t>
      </w:r>
      <w:r>
        <w:rPr>
          <w:rFonts w:ascii="Times New Roman" w:eastAsia="Times New Roman" w:hAnsi="Times New Roman" w:cs="Times New Roman"/>
          <w:sz w:val="24"/>
        </w:rPr>
        <w:t>rformance of their obligation to ensure the protection of that right for the generations to come”.</w:t>
      </w:r>
      <w:r>
        <w:rPr>
          <w:rStyle w:val="Footnoteanchor"/>
        </w:rPr>
        <w:footnoteReference w:id="17"/>
      </w:r>
      <w:r>
        <w:rPr>
          <w:rFonts w:ascii="Times New Roman" w:eastAsia="Times New Roman" w:hAnsi="Times New Roman" w:cs="Times New Roman"/>
          <w:sz w:val="24"/>
        </w:rPr>
        <w:t xml:space="preserve"> </w:t>
      </w:r>
    </w:p>
    <w:p w:rsidR="0076502E" w:rsidRDefault="002C3E60">
      <w:pPr>
        <w:pStyle w:val="normal0"/>
        <w:spacing w:line="360" w:lineRule="auto"/>
        <w:jc w:val="both"/>
      </w:pPr>
      <w:r>
        <w:rPr>
          <w:rFonts w:ascii="Times New Roman" w:eastAsia="Times New Roman" w:hAnsi="Times New Roman" w:cs="Times New Roman"/>
          <w:sz w:val="24"/>
        </w:rPr>
        <w:t>Having determined that the plaintiffs had standing to bring the proceedings, the Supreme Court addressed the substantive issues. The Supreme Court found th</w:t>
      </w:r>
      <w:r>
        <w:rPr>
          <w:rFonts w:ascii="Times New Roman" w:eastAsia="Times New Roman" w:hAnsi="Times New Roman" w:cs="Times New Roman"/>
          <w:sz w:val="24"/>
        </w:rPr>
        <w:t xml:space="preserve">at the trial court was in error in holding that the plaintiffs had failed to allege a specific legal right involved or a specific legal wrong committed. The Supreme Court found that the complaint focused on a specific fundamental legal right, the right to </w:t>
      </w:r>
      <w:r>
        <w:rPr>
          <w:rFonts w:ascii="Times New Roman" w:eastAsia="Times New Roman" w:hAnsi="Times New Roman" w:cs="Times New Roman"/>
          <w:sz w:val="24"/>
        </w:rPr>
        <w:t>a balanced and healthful ecology, incorporated in the fundamental constitutional law. The Supreme Court therefore granted the petition and reversed the trial court’s order dismissing the complaint.</w:t>
      </w:r>
      <w:r>
        <w:rPr>
          <w:rStyle w:val="Footnoteanchor"/>
        </w:rPr>
        <w:footnoteReference w:id="18"/>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sz w:val="24"/>
        </w:rPr>
        <w:t xml:space="preserve">2) In India, in </w:t>
      </w:r>
      <w:r>
        <w:rPr>
          <w:rFonts w:ascii="Times New Roman" w:eastAsia="Times New Roman" w:hAnsi="Times New Roman" w:cs="Times New Roman"/>
          <w:b/>
          <w:i/>
          <w:sz w:val="24"/>
        </w:rPr>
        <w:t xml:space="preserve">State of Himachal Pradesh v Ganesh Wood </w:t>
      </w:r>
      <w:r>
        <w:rPr>
          <w:rFonts w:ascii="Times New Roman" w:eastAsia="Times New Roman" w:hAnsi="Times New Roman" w:cs="Times New Roman"/>
          <w:b/>
          <w:i/>
          <w:sz w:val="24"/>
        </w:rPr>
        <w:t>Products</w:t>
      </w:r>
      <w:r>
        <w:rPr>
          <w:rStyle w:val="Footnoteanchor"/>
        </w:rPr>
        <w:footnoteReference w:id="19"/>
      </w:r>
      <w:r>
        <w:rPr>
          <w:rFonts w:ascii="Times New Roman" w:eastAsia="Times New Roman" w:hAnsi="Times New Roman" w:cs="Times New Roman"/>
          <w:sz w:val="24"/>
        </w:rPr>
        <w:t>, a writ petition was filed seeking issuance of a writ restraining the government of the State of Himachal Pradesh from permitting the establishment of any factory units for the manufacture of Katha in the State. Katha is derived from the Khair tr</w:t>
      </w:r>
      <w:r>
        <w:rPr>
          <w:rFonts w:ascii="Times New Roman" w:eastAsia="Times New Roman" w:hAnsi="Times New Roman" w:cs="Times New Roman"/>
          <w:sz w:val="24"/>
        </w:rPr>
        <w:t xml:space="preserve">ee which are found in considerable numbers in the State. Only the central portion of the trunk of the Khair tree is used for the manufacture of Katha. Hence, the manufacture of Katha requires the cutting of the Khair trees. The ground for seeking the writ </w:t>
      </w:r>
      <w:r>
        <w:rPr>
          <w:rFonts w:ascii="Times New Roman" w:eastAsia="Times New Roman" w:hAnsi="Times New Roman" w:cs="Times New Roman"/>
          <w:sz w:val="24"/>
        </w:rPr>
        <w:t xml:space="preserve">was that the establishment of Katha manufacturing units would lead to indiscriminate felling of </w:t>
      </w:r>
    </w:p>
    <w:p w:rsidR="0076502E" w:rsidRDefault="002C3E60">
      <w:pPr>
        <w:pStyle w:val="normal0"/>
        <w:spacing w:line="360" w:lineRule="auto"/>
        <w:jc w:val="both"/>
      </w:pPr>
      <w:r>
        <w:rPr>
          <w:rFonts w:ascii="Times New Roman" w:eastAsia="Times New Roman" w:hAnsi="Times New Roman" w:cs="Times New Roman"/>
          <w:sz w:val="24"/>
        </w:rPr>
        <w:t xml:space="preserve">Khair trees which would have a deep and adverse effect upon the environment and ecology of the State. </w:t>
      </w:r>
    </w:p>
    <w:p w:rsidR="0076502E" w:rsidRDefault="002C3E60">
      <w:pPr>
        <w:pStyle w:val="normal0"/>
        <w:spacing w:line="360" w:lineRule="auto"/>
        <w:jc w:val="both"/>
      </w:pPr>
      <w:r>
        <w:rPr>
          <w:rFonts w:ascii="Times New Roman" w:eastAsia="Times New Roman" w:hAnsi="Times New Roman" w:cs="Times New Roman"/>
          <w:sz w:val="24"/>
        </w:rPr>
        <w:t xml:space="preserve">The Supreme Court of India (B.P Jeevan Reddy J and M.K. </w:t>
      </w:r>
      <w:r>
        <w:rPr>
          <w:rFonts w:ascii="Times New Roman" w:eastAsia="Times New Roman" w:hAnsi="Times New Roman" w:cs="Times New Roman"/>
          <w:sz w:val="24"/>
        </w:rPr>
        <w:t xml:space="preserve">Mukherjee J) in a Judgement delivered by B P Jeevan Reddy J upheld the appeal. The Supreme Court stated that: </w:t>
      </w:r>
    </w:p>
    <w:p w:rsidR="0076502E" w:rsidRDefault="002C3E60">
      <w:pPr>
        <w:pStyle w:val="normal0"/>
        <w:spacing w:line="360" w:lineRule="auto"/>
        <w:ind w:left="720"/>
        <w:jc w:val="both"/>
      </w:pPr>
      <w:r>
        <w:rPr>
          <w:rFonts w:ascii="Times New Roman" w:eastAsia="Times New Roman" w:hAnsi="Times New Roman" w:cs="Times New Roman"/>
          <w:sz w:val="24"/>
        </w:rPr>
        <w:lastRenderedPageBreak/>
        <w:t>“The considerations of environment and ecology and preservation of forest wealth are absolutely relevant considerations which the Government must</w:t>
      </w:r>
      <w:r>
        <w:rPr>
          <w:rFonts w:ascii="Times New Roman" w:eastAsia="Times New Roman" w:hAnsi="Times New Roman" w:cs="Times New Roman"/>
          <w:sz w:val="24"/>
        </w:rPr>
        <w:t xml:space="preserve"> keep in mind while devising its policies and programmes”.</w:t>
      </w:r>
      <w:r>
        <w:rPr>
          <w:rStyle w:val="Footnoteanchor"/>
        </w:rPr>
        <w:footnoteReference w:id="20"/>
      </w:r>
    </w:p>
    <w:p w:rsidR="0076502E" w:rsidRDefault="0076502E">
      <w:pPr>
        <w:pStyle w:val="normal0"/>
        <w:spacing w:line="360" w:lineRule="auto"/>
        <w:ind w:left="720"/>
        <w:jc w:val="both"/>
      </w:pPr>
    </w:p>
    <w:p w:rsidR="0076502E" w:rsidRDefault="002C3E60">
      <w:pPr>
        <w:pStyle w:val="normal0"/>
        <w:spacing w:line="360" w:lineRule="auto"/>
        <w:jc w:val="both"/>
      </w:pPr>
      <w:r>
        <w:rPr>
          <w:rFonts w:ascii="Times New Roman" w:eastAsia="Times New Roman" w:hAnsi="Times New Roman" w:cs="Times New Roman"/>
          <w:sz w:val="24"/>
        </w:rPr>
        <w:t xml:space="preserve">The Supreme Court then emphasised the significance of the concepts of sustainable development and intergenerational equity. As to the latter, the Supreme Court said: </w:t>
      </w:r>
    </w:p>
    <w:p w:rsidR="0076502E" w:rsidRDefault="002C3E60">
      <w:pPr>
        <w:pStyle w:val="normal0"/>
        <w:spacing w:line="360" w:lineRule="auto"/>
        <w:ind w:left="720"/>
        <w:jc w:val="both"/>
      </w:pPr>
      <w:r>
        <w:rPr>
          <w:rFonts w:ascii="Times New Roman" w:eastAsia="Times New Roman" w:hAnsi="Times New Roman" w:cs="Times New Roman"/>
          <w:sz w:val="24"/>
        </w:rPr>
        <w:t xml:space="preserve">“Intergenerational equity </w:t>
      </w:r>
      <w:r>
        <w:rPr>
          <w:rFonts w:ascii="Times New Roman" w:eastAsia="Times New Roman" w:hAnsi="Times New Roman" w:cs="Times New Roman"/>
          <w:sz w:val="24"/>
        </w:rPr>
        <w:t>means the concern for the generations to come. The present generation has no right to impede the safety and well being of the next generation or the generation sot come thereafter”.</w:t>
      </w:r>
      <w:r>
        <w:rPr>
          <w:rStyle w:val="Footnoteanchor"/>
        </w:rPr>
        <w:footnoteReference w:id="21"/>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sz w:val="24"/>
        </w:rPr>
        <w:t>The Supreme Court found the actions of the relevant government body to a</w:t>
      </w:r>
      <w:r>
        <w:rPr>
          <w:rFonts w:ascii="Times New Roman" w:eastAsia="Times New Roman" w:hAnsi="Times New Roman" w:cs="Times New Roman"/>
          <w:sz w:val="24"/>
        </w:rPr>
        <w:t>pprove any and every proposal that came before it, on the assumption that so long as there is no commitment on the part of the Government to supply Khair wood to the proposed factories there is no harm, to be “a totally faulty and a myopic approach”. It no</w:t>
      </w:r>
      <w:r>
        <w:rPr>
          <w:rFonts w:ascii="Times New Roman" w:eastAsia="Times New Roman" w:hAnsi="Times New Roman" w:cs="Times New Roman"/>
          <w:sz w:val="24"/>
        </w:rPr>
        <w:t>t only violated relevant and National and State Forest Policies, it was also</w:t>
      </w:r>
      <w:r>
        <w:rPr>
          <w:rStyle w:val="Footnoteanchor"/>
        </w:rPr>
        <w:footnoteReference w:id="22"/>
      </w:r>
      <w:r>
        <w:rPr>
          <w:rFonts w:ascii="Times New Roman" w:eastAsia="Times New Roman" w:hAnsi="Times New Roman" w:cs="Times New Roman"/>
          <w:sz w:val="24"/>
        </w:rPr>
        <w:t xml:space="preserve">: </w:t>
      </w:r>
    </w:p>
    <w:p w:rsidR="0076502E" w:rsidRDefault="002C3E60">
      <w:pPr>
        <w:pStyle w:val="normal0"/>
        <w:spacing w:line="360" w:lineRule="auto"/>
        <w:ind w:left="720"/>
        <w:jc w:val="both"/>
      </w:pPr>
      <w:r>
        <w:rPr>
          <w:rFonts w:ascii="Times New Roman" w:eastAsia="Times New Roman" w:hAnsi="Times New Roman" w:cs="Times New Roman"/>
          <w:sz w:val="24"/>
        </w:rPr>
        <w:t>“contrary to public interest involved in preserving forest wealth, maintenance of environment and ecology and considerations of sustainable growth and inter-generational equity</w:t>
      </w:r>
      <w:r>
        <w:rPr>
          <w:rFonts w:ascii="Times New Roman" w:eastAsia="Times New Roman" w:hAnsi="Times New Roman" w:cs="Times New Roman"/>
          <w:sz w:val="24"/>
        </w:rPr>
        <w:t>. After all, the present generation has no right to deplete all the existing forests and leave nothing for the next and future generations. Not keeping the above considerations in mind, it is obvious, has vitiated the approvals granted by the sub-committee</w:t>
      </w:r>
      <w:r>
        <w:rPr>
          <w:rFonts w:ascii="Times New Roman" w:eastAsia="Times New Roman" w:hAnsi="Times New Roman" w:cs="Times New Roman"/>
          <w:sz w:val="24"/>
        </w:rPr>
        <w:t xml:space="preserve"> of IPARA – apart from the fact that it was not empowered to grant any such approval. The obligation of sustainable development requires that a proper assessment should be made of the forest wealth and the establishment of industries based on forest produc</w:t>
      </w:r>
      <w:r>
        <w:rPr>
          <w:rFonts w:ascii="Times New Roman" w:eastAsia="Times New Roman" w:hAnsi="Times New Roman" w:cs="Times New Roman"/>
          <w:sz w:val="24"/>
        </w:rPr>
        <w:t>e should not only be restricted accordingly but their working should also be monitored closely to ensure that the required balance is not disturbed”.</w:t>
      </w:r>
      <w:r>
        <w:rPr>
          <w:rStyle w:val="Footnoteanchor"/>
        </w:rPr>
        <w:footnoteReference w:id="23"/>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sz w:val="24"/>
        </w:rPr>
        <w:t xml:space="preserve">3) In </w:t>
      </w:r>
      <w:r>
        <w:rPr>
          <w:rFonts w:ascii="Times New Roman" w:eastAsia="Times New Roman" w:hAnsi="Times New Roman" w:cs="Times New Roman"/>
          <w:b/>
          <w:i/>
          <w:sz w:val="24"/>
        </w:rPr>
        <w:t>Rural Litigation and Entitlement Kendra v State of Uttar Pradesh</w:t>
      </w:r>
      <w:r>
        <w:rPr>
          <w:rStyle w:val="Footnoteanchor"/>
        </w:rPr>
        <w:footnoteReference w:id="24"/>
      </w:r>
      <w:r>
        <w:rPr>
          <w:rFonts w:ascii="Times New Roman" w:eastAsia="Times New Roman" w:hAnsi="Times New Roman" w:cs="Times New Roman"/>
          <w:sz w:val="24"/>
        </w:rPr>
        <w:t>, the petitioners were rural vill</w:t>
      </w:r>
      <w:r>
        <w:rPr>
          <w:rFonts w:ascii="Times New Roman" w:eastAsia="Times New Roman" w:hAnsi="Times New Roman" w:cs="Times New Roman"/>
          <w:sz w:val="24"/>
        </w:rPr>
        <w:t>agers concerned about the unauthorised and illegal mining of limestone in the Mussorie-</w:t>
      </w:r>
      <w:r>
        <w:rPr>
          <w:rFonts w:ascii="Times New Roman" w:eastAsia="Times New Roman" w:hAnsi="Times New Roman" w:cs="Times New Roman"/>
          <w:sz w:val="24"/>
        </w:rPr>
        <w:lastRenderedPageBreak/>
        <w:t>Dehradun belt in the State of Uttar Pradesh which adversely affected the ecology of the area and led to environmental disorder. The mining also adversely affect the vill</w:t>
      </w:r>
      <w:r>
        <w:rPr>
          <w:rFonts w:ascii="Times New Roman" w:eastAsia="Times New Roman" w:hAnsi="Times New Roman" w:cs="Times New Roman"/>
          <w:sz w:val="24"/>
        </w:rPr>
        <w:t xml:space="preserve">agers. </w:t>
      </w:r>
    </w:p>
    <w:p w:rsidR="0076502E" w:rsidRDefault="002C3E60">
      <w:pPr>
        <w:pStyle w:val="normal0"/>
        <w:spacing w:line="360" w:lineRule="auto"/>
        <w:jc w:val="both"/>
      </w:pPr>
      <w:r>
        <w:rPr>
          <w:rFonts w:ascii="Times New Roman" w:eastAsia="Times New Roman" w:hAnsi="Times New Roman" w:cs="Times New Roman"/>
          <w:sz w:val="24"/>
        </w:rPr>
        <w:t>In 1988, the Supreme Court considered the further evidence and gave reasoning for its conclusion that mining in the Doon Valley area should be stopped. The Supreme Court surveyed the ecological consequences of mining of the limestone deposits and n</w:t>
      </w:r>
      <w:r>
        <w:rPr>
          <w:rFonts w:ascii="Times New Roman" w:eastAsia="Times New Roman" w:hAnsi="Times New Roman" w:cs="Times New Roman"/>
          <w:sz w:val="24"/>
        </w:rPr>
        <w:t>oted</w:t>
      </w:r>
      <w:r>
        <w:rPr>
          <w:rStyle w:val="Footnoteanchor"/>
        </w:rPr>
        <w:footnoteReference w:id="25"/>
      </w:r>
      <w:r>
        <w:rPr>
          <w:rFonts w:ascii="Times New Roman" w:eastAsia="Times New Roman" w:hAnsi="Times New Roman" w:cs="Times New Roman"/>
          <w:sz w:val="24"/>
        </w:rPr>
        <w:t xml:space="preserve">: </w:t>
      </w:r>
    </w:p>
    <w:p w:rsidR="0076502E" w:rsidRDefault="002C3E60">
      <w:pPr>
        <w:pStyle w:val="normal0"/>
        <w:spacing w:line="360" w:lineRule="auto"/>
        <w:ind w:left="720"/>
        <w:jc w:val="both"/>
      </w:pPr>
      <w:r>
        <w:rPr>
          <w:rFonts w:ascii="Times New Roman" w:eastAsia="Times New Roman" w:hAnsi="Times New Roman" w:cs="Times New Roman"/>
          <w:sz w:val="24"/>
        </w:rPr>
        <w:t xml:space="preserve">“21. The Doon Valley limestone deposits are a gift of nature to mankind. Underneath the soil cover there is an unseen storehouse of bounty almost everywhere. Similarly forests provide the green belt and are a bequest of the past generations to the </w:t>
      </w:r>
      <w:r>
        <w:rPr>
          <w:rFonts w:ascii="Times New Roman" w:eastAsia="Times New Roman" w:hAnsi="Times New Roman" w:cs="Times New Roman"/>
          <w:sz w:val="24"/>
        </w:rPr>
        <w:t>present. Limestone deposits if excavated and utilised get exhausted while if forests are exploited, there can be regeneration provided reforestation is undertaken. Trees however take time to grown and ordinarily a 15 to 25 year period is necessary for such</w:t>
      </w:r>
      <w:r>
        <w:rPr>
          <w:rFonts w:ascii="Times New Roman" w:eastAsia="Times New Roman" w:hAnsi="Times New Roman" w:cs="Times New Roman"/>
          <w:sz w:val="24"/>
        </w:rPr>
        <w:t xml:space="preserve"> purpose”.</w:t>
      </w:r>
      <w:r>
        <w:rPr>
          <w:rStyle w:val="Footnoteanchor"/>
        </w:rPr>
        <w:footnoteReference w:id="26"/>
      </w:r>
    </w:p>
    <w:p w:rsidR="0076502E" w:rsidRDefault="002C3E60">
      <w:pPr>
        <w:pStyle w:val="normal0"/>
        <w:spacing w:line="360" w:lineRule="auto"/>
        <w:ind w:left="720"/>
        <w:jc w:val="both"/>
      </w:pPr>
      <w:r>
        <w:rPr>
          <w:rFonts w:ascii="Times New Roman" w:eastAsia="Times New Roman" w:hAnsi="Times New Roman" w:cs="Times New Roman"/>
          <w:sz w:val="24"/>
        </w:rPr>
        <w:t xml:space="preserve">“We are also satisfied that if mining activity even to a limited extent is permitted in future, it would be not congenial to ecology and environment and the natural calm and peace which is a special feature of this area in its normal condition </w:t>
      </w:r>
      <w:r>
        <w:rPr>
          <w:rFonts w:ascii="Times New Roman" w:eastAsia="Times New Roman" w:hAnsi="Times New Roman" w:cs="Times New Roman"/>
          <w:sz w:val="24"/>
        </w:rPr>
        <w:t xml:space="preserve">shall not be restored. This tourist zone in its natural setting would certainly be at its best if its serenity is restored in the fullest way. We are of the considered opinion that mining activity in this Valley must be completely stopped but as indicated </w:t>
      </w:r>
      <w:r>
        <w:rPr>
          <w:rFonts w:ascii="Times New Roman" w:eastAsia="Times New Roman" w:hAnsi="Times New Roman" w:cs="Times New Roman"/>
          <w:sz w:val="24"/>
        </w:rPr>
        <w:t>in another part of this judgement such a situation will be available only after the original leases of the working mines are over”.</w:t>
      </w:r>
      <w:r>
        <w:rPr>
          <w:rStyle w:val="Footnoteanchor"/>
        </w:rPr>
        <w:footnoteReference w:id="27"/>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sz w:val="24"/>
        </w:rPr>
        <w:t>The Supreme Court described the environmental consequences caused by the excessive exploitation and clearing of the forest</w:t>
      </w:r>
      <w:r>
        <w:rPr>
          <w:rFonts w:ascii="Times New Roman" w:eastAsia="Times New Roman" w:hAnsi="Times New Roman" w:cs="Times New Roman"/>
          <w:sz w:val="24"/>
        </w:rPr>
        <w:t xml:space="preserve">s and considered the mines that were operating in reserved forests: The Supreme Court held that: </w:t>
      </w:r>
    </w:p>
    <w:p w:rsidR="0076502E" w:rsidRDefault="002C3E60">
      <w:pPr>
        <w:pStyle w:val="normal0"/>
        <w:spacing w:line="360" w:lineRule="auto"/>
        <w:ind w:left="720"/>
        <w:jc w:val="both"/>
      </w:pPr>
      <w:r>
        <w:rPr>
          <w:rFonts w:ascii="Times New Roman" w:eastAsia="Times New Roman" w:hAnsi="Times New Roman" w:cs="Times New Roman"/>
          <w:sz w:val="24"/>
        </w:rPr>
        <w:t xml:space="preserve">“To these areas the Forest Conservation Act applies and to the allow mining in these areas even under strictest control as a permanent feature would not only </w:t>
      </w:r>
      <w:r>
        <w:rPr>
          <w:rFonts w:ascii="Times New Roman" w:eastAsia="Times New Roman" w:hAnsi="Times New Roman" w:cs="Times New Roman"/>
          <w:sz w:val="24"/>
        </w:rPr>
        <w:t>be violative of the provision of Forest (Conservation) Act but would be detrimental to restoration of the forest growth in a natural way in this area. Once the importance of forests is realised and as a matter of national policy and in the interests of the</w:t>
      </w:r>
      <w:r>
        <w:rPr>
          <w:rFonts w:ascii="Times New Roman" w:eastAsia="Times New Roman" w:hAnsi="Times New Roman" w:cs="Times New Roman"/>
          <w:sz w:val="24"/>
        </w:rPr>
        <w:t xml:space="preserve"> community, preservation of forests is accepted as the goal, nothing which would detract from that end should be permitted. In such circumstances we reiterate our conclusion that mining in this area has to be totally stopped”.</w:t>
      </w:r>
      <w:r>
        <w:rPr>
          <w:rStyle w:val="Footnoteanchor"/>
        </w:rPr>
        <w:footnoteReference w:id="28"/>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sz w:val="24"/>
        </w:rPr>
        <w:t>The Supreme Court’s decisio</w:t>
      </w:r>
      <w:r>
        <w:rPr>
          <w:rFonts w:ascii="Times New Roman" w:eastAsia="Times New Roman" w:hAnsi="Times New Roman" w:cs="Times New Roman"/>
          <w:sz w:val="24"/>
        </w:rPr>
        <w:t>n, therefore, addressed both intergenerational equity and intragenerational equity for the affected villagers in the valley.</w:t>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sz w:val="24"/>
        </w:rPr>
        <w:t xml:space="preserve">4) In </w:t>
      </w:r>
      <w:r>
        <w:rPr>
          <w:rFonts w:ascii="Times New Roman" w:eastAsia="Times New Roman" w:hAnsi="Times New Roman" w:cs="Times New Roman"/>
          <w:b/>
          <w:i/>
          <w:sz w:val="24"/>
        </w:rPr>
        <w:t>M.C. Mehta v. Union of India</w:t>
      </w:r>
      <w:r>
        <w:rPr>
          <w:rStyle w:val="Footnoteanchor"/>
        </w:rPr>
        <w:footnoteReference w:id="29"/>
      </w:r>
      <w:r>
        <w:rPr>
          <w:rFonts w:ascii="Times New Roman" w:eastAsia="Times New Roman" w:hAnsi="Times New Roman" w:cs="Times New Roman"/>
          <w:sz w:val="24"/>
        </w:rPr>
        <w:t>, The Supreme Court stayed All mining operations in the entire Aravalli Hill range within the S</w:t>
      </w:r>
      <w:r>
        <w:rPr>
          <w:rFonts w:ascii="Times New Roman" w:eastAsia="Times New Roman" w:hAnsi="Times New Roman" w:cs="Times New Roman"/>
          <w:sz w:val="24"/>
        </w:rPr>
        <w:t xml:space="preserve">tate of Haryana in which mining operations were being carried out. The Supreme Court held that: </w:t>
      </w:r>
    </w:p>
    <w:p w:rsidR="0076502E" w:rsidRDefault="002C3E60">
      <w:pPr>
        <w:pStyle w:val="normal0"/>
        <w:spacing w:line="360" w:lineRule="auto"/>
        <w:ind w:left="720"/>
        <w:jc w:val="both"/>
      </w:pPr>
      <w:r>
        <w:rPr>
          <w:rFonts w:ascii="Times New Roman" w:eastAsia="Times New Roman" w:hAnsi="Times New Roman" w:cs="Times New Roman"/>
          <w:sz w:val="24"/>
        </w:rPr>
        <w:t>“Environment and ecology are national assets. They are subject to inter-generational equity. Time has now come to suspend all mining in the above Area on Susta</w:t>
      </w:r>
      <w:r>
        <w:rPr>
          <w:rFonts w:ascii="Times New Roman" w:eastAsia="Times New Roman" w:hAnsi="Times New Roman" w:cs="Times New Roman"/>
          <w:sz w:val="24"/>
        </w:rPr>
        <w:t xml:space="preserve">inable Development Principle which is part of Articles </w:t>
      </w:r>
      <w:r>
        <w:rPr>
          <w:rFonts w:ascii="Times New Roman" w:eastAsia="Times New Roman" w:hAnsi="Times New Roman" w:cs="Times New Roman"/>
          <w:color w:val="000080"/>
          <w:sz w:val="24"/>
          <w:u w:val="single"/>
        </w:rPr>
        <w:t>21</w:t>
      </w:r>
      <w:r>
        <w:rPr>
          <w:rFonts w:ascii="Times New Roman" w:eastAsia="Times New Roman" w:hAnsi="Times New Roman" w:cs="Times New Roman"/>
          <w:sz w:val="24"/>
        </w:rPr>
        <w:t xml:space="preserve">, </w:t>
      </w:r>
      <w:r>
        <w:rPr>
          <w:rFonts w:ascii="Times New Roman" w:eastAsia="Times New Roman" w:hAnsi="Times New Roman" w:cs="Times New Roman"/>
          <w:color w:val="000080"/>
          <w:sz w:val="24"/>
          <w:u w:val="single"/>
        </w:rPr>
        <w:t>48A</w:t>
      </w:r>
      <w:r>
        <w:rPr>
          <w:rFonts w:ascii="Times New Roman" w:eastAsia="Times New Roman" w:hAnsi="Times New Roman" w:cs="Times New Roman"/>
          <w:sz w:val="24"/>
        </w:rPr>
        <w:t xml:space="preserve"> and </w:t>
      </w:r>
      <w:r>
        <w:rPr>
          <w:rFonts w:ascii="Times New Roman" w:eastAsia="Times New Roman" w:hAnsi="Times New Roman" w:cs="Times New Roman"/>
          <w:color w:val="000080"/>
          <w:sz w:val="24"/>
          <w:u w:val="single"/>
        </w:rPr>
        <w:t>51A(g)</w:t>
      </w:r>
      <w:r>
        <w:rPr>
          <w:rFonts w:ascii="Times New Roman" w:eastAsia="Times New Roman" w:hAnsi="Times New Roman" w:cs="Times New Roman"/>
          <w:sz w:val="24"/>
        </w:rPr>
        <w:t xml:space="preserve"> of the Constitution of India. In fact, these Articles have been extensively discussed in the judgment in M.C. Mehta's case (2004)</w:t>
      </w:r>
      <w:r>
        <w:rPr>
          <w:rStyle w:val="Footnoteanchor"/>
        </w:rPr>
        <w:footnoteReference w:id="30"/>
      </w:r>
      <w:r>
        <w:rPr>
          <w:rFonts w:ascii="Times New Roman" w:eastAsia="Times New Roman" w:hAnsi="Times New Roman" w:cs="Times New Roman"/>
          <w:sz w:val="24"/>
        </w:rPr>
        <w:t xml:space="preserve"> which keeps the option of imposing a ban in future open. Mining within the Principle of Sustainable Development comes within the concept of "balancing" whereas mining beyond the Principle of Sustainable Development comes within the concept of "banning". I</w:t>
      </w:r>
      <w:r>
        <w:rPr>
          <w:rFonts w:ascii="Times New Roman" w:eastAsia="Times New Roman" w:hAnsi="Times New Roman" w:cs="Times New Roman"/>
          <w:sz w:val="24"/>
        </w:rPr>
        <w:t>t is a matter of degree. Balancing of the mining activity with environment protection and banning such activity are two sides of the same principle of sustainable development. They are parts of Precautionary Principle.”</w:t>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sz w:val="24"/>
        </w:rPr>
        <w:t xml:space="preserve">5) In </w:t>
      </w:r>
      <w:r>
        <w:rPr>
          <w:rFonts w:ascii="Times New Roman" w:eastAsia="Times New Roman" w:hAnsi="Times New Roman" w:cs="Times New Roman"/>
          <w:b/>
          <w:i/>
          <w:sz w:val="24"/>
        </w:rPr>
        <w:t>T.N. Godavarman Thirumulpad v</w:t>
      </w:r>
      <w:r>
        <w:rPr>
          <w:rFonts w:ascii="Times New Roman" w:eastAsia="Times New Roman" w:hAnsi="Times New Roman" w:cs="Times New Roman"/>
          <w:b/>
          <w:i/>
          <w:sz w:val="24"/>
        </w:rPr>
        <w:t>. Union of India</w:t>
      </w:r>
      <w:r>
        <w:rPr>
          <w:rStyle w:val="Footnoteanchor"/>
        </w:rPr>
        <w:footnoteReference w:id="31"/>
      </w:r>
      <w:r>
        <w:rPr>
          <w:rFonts w:ascii="Times New Roman" w:eastAsia="Times New Roman" w:hAnsi="Times New Roman" w:cs="Times New Roman"/>
          <w:sz w:val="24"/>
        </w:rPr>
        <w:t xml:space="preserve">, The Supreme Court, while considering </w:t>
      </w:r>
      <w:r>
        <w:rPr>
          <w:rFonts w:ascii="Times New Roman" w:eastAsia="Times New Roman" w:hAnsi="Times New Roman" w:cs="Times New Roman"/>
          <w:sz w:val="24"/>
          <w:shd w:val="clear" w:color="auto" w:fill="FFFFFF"/>
        </w:rPr>
        <w:t xml:space="preserve">Measures to be taken to compensate for loss of forest land and effect on ecology when forest land is used for non-forest purposes including payment of Net Present Value based on Total Economic Value, </w:t>
      </w:r>
      <w:r>
        <w:rPr>
          <w:rFonts w:ascii="Times New Roman" w:eastAsia="Times New Roman" w:hAnsi="Times New Roman" w:cs="Times New Roman"/>
          <w:sz w:val="24"/>
          <w:shd w:val="clear" w:color="auto" w:fill="FFFFFF"/>
        </w:rPr>
        <w:t>held that:</w:t>
      </w:r>
    </w:p>
    <w:p w:rsidR="0076502E" w:rsidRDefault="002C3E60">
      <w:pPr>
        <w:pStyle w:val="normal0"/>
        <w:spacing w:line="360" w:lineRule="auto"/>
        <w:ind w:left="720"/>
        <w:jc w:val="both"/>
      </w:pPr>
      <w:r>
        <w:rPr>
          <w:rFonts w:ascii="Times New Roman" w:eastAsia="Times New Roman" w:hAnsi="Times New Roman" w:cs="Times New Roman"/>
          <w:sz w:val="24"/>
          <w:shd w:val="clear" w:color="auto" w:fill="FFFFFF"/>
        </w:rPr>
        <w:t>“The damage to environment is a damage to the country's assets as a whole. Ecology knows no boundaries. It can have impact on the climate. The principles and parameters for valuation of the damage have to be evolved also keeping in view the like</w:t>
      </w:r>
      <w:r>
        <w:rPr>
          <w:rFonts w:ascii="Times New Roman" w:eastAsia="Times New Roman" w:hAnsi="Times New Roman" w:cs="Times New Roman"/>
          <w:sz w:val="24"/>
          <w:shd w:val="clear" w:color="auto" w:fill="FFFFFF"/>
        </w:rPr>
        <w:t>ly impact of activities on future generation.”</w:t>
      </w:r>
      <w:r>
        <w:rPr>
          <w:rStyle w:val="Footnoteanchor"/>
        </w:rPr>
        <w:footnoteReference w:id="32"/>
      </w:r>
    </w:p>
    <w:p w:rsidR="0076502E" w:rsidRDefault="002C3E60">
      <w:pPr>
        <w:pStyle w:val="normal0"/>
        <w:spacing w:line="360" w:lineRule="auto"/>
        <w:ind w:left="720"/>
        <w:jc w:val="both"/>
      </w:pPr>
      <w:r>
        <w:rPr>
          <w:rFonts w:ascii="Times New Roman" w:eastAsia="Times New Roman" w:hAnsi="Times New Roman" w:cs="Times New Roman"/>
          <w:sz w:val="24"/>
          <w:shd w:val="clear" w:color="auto" w:fill="FFFFFF"/>
        </w:rPr>
        <w:t>“We may also briefly refer to Public Trust doctrine and its applicability to the matters under consideration. The Public Trust Doctrine looks beyond the need of the present generation and also suggests that c</w:t>
      </w:r>
      <w:r>
        <w:rPr>
          <w:rFonts w:ascii="Times New Roman" w:eastAsia="Times New Roman" w:hAnsi="Times New Roman" w:cs="Times New Roman"/>
          <w:sz w:val="24"/>
          <w:shd w:val="clear" w:color="auto" w:fill="FFFFFF"/>
        </w:rPr>
        <w:t xml:space="preserve">ertain resources are invested with a special nature. It </w:t>
      </w:r>
      <w:r>
        <w:rPr>
          <w:rFonts w:ascii="Times New Roman" w:eastAsia="Times New Roman" w:hAnsi="Times New Roman" w:cs="Times New Roman"/>
          <w:sz w:val="24"/>
          <w:shd w:val="clear" w:color="auto" w:fill="FFFFFF"/>
        </w:rPr>
        <w:lastRenderedPageBreak/>
        <w:t>would be instructive to make a note of a story given in by Timothy Patrick Brady in Boston College Environmental Affairs Law Review, Spring 1990 under the title 'But most of it belongs to those yet to</w:t>
      </w:r>
      <w:r>
        <w:rPr>
          <w:rFonts w:ascii="Times New Roman" w:eastAsia="Times New Roman" w:hAnsi="Times New Roman" w:cs="Times New Roman"/>
          <w:sz w:val="24"/>
          <w:shd w:val="clear" w:color="auto" w:fill="FFFFFF"/>
        </w:rPr>
        <w:t xml:space="preserve"> be born'. The story relates to digging of [a] well at the time of drought. When a Frenchman told villagers of a prudent African solution of digging well, many villagers agreed but others argued that it will bring people from other villages and they would </w:t>
      </w:r>
      <w:r>
        <w:rPr>
          <w:rFonts w:ascii="Times New Roman" w:eastAsia="Times New Roman" w:hAnsi="Times New Roman" w:cs="Times New Roman"/>
          <w:sz w:val="24"/>
          <w:shd w:val="clear" w:color="auto" w:fill="FFFFFF"/>
        </w:rPr>
        <w:t xml:space="preserve">bring their cattle and that would increase the pressure on the already precious water. The Frenchman told the villagers that why not explain to them that the well is only for your own village and they can dig their own. It was then said that 'water is not </w:t>
      </w:r>
      <w:r>
        <w:rPr>
          <w:rFonts w:ascii="Times New Roman" w:eastAsia="Times New Roman" w:hAnsi="Times New Roman" w:cs="Times New Roman"/>
          <w:sz w:val="24"/>
          <w:shd w:val="clear" w:color="auto" w:fill="FFFFFF"/>
        </w:rPr>
        <w:t>only ours, but is gift of nature from God and must be shared.' Ultimately, they concluded that it was wiser not to dig the well at all. The moral of the story is that we are trustees of natural resources which belong to all including future generation as w</w:t>
      </w:r>
      <w:r>
        <w:rPr>
          <w:rFonts w:ascii="Times New Roman" w:eastAsia="Times New Roman" w:hAnsi="Times New Roman" w:cs="Times New Roman"/>
          <w:sz w:val="24"/>
          <w:shd w:val="clear" w:color="auto" w:fill="FFFFFF"/>
        </w:rPr>
        <w:t>ell. The public trust doctrine has to be used to protect the right of this as also future generation.”</w:t>
      </w:r>
      <w:r>
        <w:rPr>
          <w:rStyle w:val="Footnoteanchor"/>
        </w:rPr>
        <w:footnoteReference w:id="33"/>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sz w:val="24"/>
        </w:rPr>
        <w:t xml:space="preserve">6) In </w:t>
      </w:r>
      <w:r>
        <w:rPr>
          <w:rFonts w:ascii="Times New Roman" w:eastAsia="Times New Roman" w:hAnsi="Times New Roman" w:cs="Times New Roman"/>
          <w:b/>
          <w:i/>
          <w:sz w:val="24"/>
        </w:rPr>
        <w:t>Glanrock Estate v. State of Tamil Nadu</w:t>
      </w:r>
      <w:r>
        <w:rPr>
          <w:rStyle w:val="Footnoteanchor"/>
        </w:rPr>
        <w:footnoteReference w:id="34"/>
      </w:r>
      <w:r>
        <w:rPr>
          <w:rFonts w:ascii="Times New Roman" w:eastAsia="Times New Roman" w:hAnsi="Times New Roman" w:cs="Times New Roman"/>
          <w:sz w:val="24"/>
        </w:rPr>
        <w:t>, the Supreme Court observed that:</w:t>
      </w:r>
    </w:p>
    <w:p w:rsidR="0076502E" w:rsidRDefault="002C3E60">
      <w:pPr>
        <w:pStyle w:val="normal0"/>
        <w:spacing w:line="360" w:lineRule="auto"/>
        <w:ind w:left="720"/>
        <w:jc w:val="both"/>
      </w:pPr>
      <w:r>
        <w:rPr>
          <w:rFonts w:ascii="Times New Roman" w:eastAsia="Times New Roman" w:hAnsi="Times New Roman" w:cs="Times New Roman"/>
          <w:sz w:val="24"/>
        </w:rPr>
        <w:t>“Forests in India are an important part of environment. They constitute</w:t>
      </w:r>
      <w:r>
        <w:rPr>
          <w:rFonts w:ascii="Times New Roman" w:eastAsia="Times New Roman" w:hAnsi="Times New Roman" w:cs="Times New Roman"/>
          <w:sz w:val="24"/>
        </w:rPr>
        <w:t xml:space="preserve"> national asset. In various judgments of this Court delivered by the Forest Bench of this Court in the case of T.N. Godavarman v. Union of India Writ Petition No. 202 of 1995, it has been held that "inter-generational equity" is part of Article 21 of the C</w:t>
      </w:r>
      <w:r>
        <w:rPr>
          <w:rFonts w:ascii="Times New Roman" w:eastAsia="Times New Roman" w:hAnsi="Times New Roman" w:cs="Times New Roman"/>
          <w:sz w:val="24"/>
        </w:rPr>
        <w:t>onstitution. What is inter-generational equity? The present generation is answerable to the next generation by giving to the next generation a good environment. We are answerable to the next generation and if deforestation takes place rampantly then inter-</w:t>
      </w:r>
      <w:r>
        <w:rPr>
          <w:rFonts w:ascii="Times New Roman" w:eastAsia="Times New Roman" w:hAnsi="Times New Roman" w:cs="Times New Roman"/>
          <w:sz w:val="24"/>
        </w:rPr>
        <w:t>generational equity would stand violated. The doctrine of sustainable development also forms part of Article 21 of the Constitution. The "precautionary principle" and the "polluter pays principle" flow from the core value in Article 21.”</w:t>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sz w:val="24"/>
        </w:rPr>
        <w:t xml:space="preserve">7) </w:t>
      </w:r>
      <w:r>
        <w:rPr>
          <w:rFonts w:ascii="Times New Roman" w:eastAsia="Times New Roman" w:hAnsi="Times New Roman" w:cs="Times New Roman"/>
          <w:b/>
          <w:i/>
          <w:sz w:val="24"/>
        </w:rPr>
        <w:t>Gray v. Minist</w:t>
      </w:r>
      <w:r>
        <w:rPr>
          <w:rFonts w:ascii="Times New Roman" w:eastAsia="Times New Roman" w:hAnsi="Times New Roman" w:cs="Times New Roman"/>
          <w:b/>
          <w:i/>
          <w:sz w:val="24"/>
        </w:rPr>
        <w:t>er of Planning</w:t>
      </w:r>
      <w:r>
        <w:rPr>
          <w:rStyle w:val="Footnoteanchor"/>
        </w:rPr>
        <w:footnoteReference w:id="35"/>
      </w:r>
      <w:r>
        <w:rPr>
          <w:rFonts w:ascii="Times New Roman" w:eastAsia="Times New Roman" w:hAnsi="Times New Roman" w:cs="Times New Roman"/>
          <w:sz w:val="24"/>
        </w:rPr>
        <w:t>:-</w:t>
      </w:r>
    </w:p>
    <w:p w:rsidR="0076502E" w:rsidRDefault="002C3E60">
      <w:pPr>
        <w:pStyle w:val="normal0"/>
        <w:spacing w:line="360" w:lineRule="auto"/>
        <w:jc w:val="both"/>
      </w:pPr>
      <w:r>
        <w:rPr>
          <w:rFonts w:ascii="Times New Roman" w:eastAsia="Times New Roman" w:hAnsi="Times New Roman" w:cs="Times New Roman"/>
          <w:sz w:val="24"/>
        </w:rPr>
        <w:t>This case concerned the decision of the Director-General of the Department of Planning to grant permission to Centennial Hunter Pty Ltd (Centennial) to commence development of a coal mine at Anvil Hill in New South Wales in 2006. In Gray,</w:t>
      </w:r>
      <w:r>
        <w:rPr>
          <w:rFonts w:ascii="Times New Roman" w:eastAsia="Times New Roman" w:hAnsi="Times New Roman" w:cs="Times New Roman"/>
          <w:sz w:val="24"/>
        </w:rPr>
        <w:t xml:space="preserve"> the Applicant, an environmental activist, argued amongst other things that the Director-General had failed to take into account principles of Ecologically Sustainable Development (ESD), including the principle of intergenerational </w:t>
      </w:r>
      <w:r>
        <w:rPr>
          <w:rFonts w:ascii="Times New Roman" w:eastAsia="Times New Roman" w:hAnsi="Times New Roman" w:cs="Times New Roman"/>
          <w:sz w:val="24"/>
        </w:rPr>
        <w:lastRenderedPageBreak/>
        <w:t xml:space="preserve">equity, in his decision </w:t>
      </w:r>
      <w:r>
        <w:rPr>
          <w:rFonts w:ascii="Times New Roman" w:eastAsia="Times New Roman" w:hAnsi="Times New Roman" w:cs="Times New Roman"/>
          <w:sz w:val="24"/>
        </w:rPr>
        <w:t>to accept Centennial’s environmental impact assessment for public display. The presiding judge, Pain J, found that the Director-General had failed to take ESD principles into account in his decision to accept Centennial’s environmental impact assessment, a</w:t>
      </w:r>
      <w:r>
        <w:rPr>
          <w:rFonts w:ascii="Times New Roman" w:eastAsia="Times New Roman" w:hAnsi="Times New Roman" w:cs="Times New Roman"/>
          <w:sz w:val="24"/>
        </w:rPr>
        <w:t>nd declared that the decision was void. Noting that ‘intergenerational equity has received relatively little judicial consideration in this Court in the context of the requirements for environmental assessment under the EP&amp;A Act,’ Pain J drew upon an acade</w:t>
      </w:r>
      <w:r>
        <w:rPr>
          <w:rFonts w:ascii="Times New Roman" w:eastAsia="Times New Roman" w:hAnsi="Times New Roman" w:cs="Times New Roman"/>
          <w:sz w:val="24"/>
        </w:rPr>
        <w:t>mic article written by Justice Brian Preston (which was itself influenced by the writings of Edith Brown Weiss).</w:t>
      </w:r>
      <w:r>
        <w:rPr>
          <w:rStyle w:val="Footnoteanchor"/>
        </w:rPr>
        <w:footnoteReference w:id="36"/>
      </w:r>
    </w:p>
    <w:p w:rsidR="0076502E" w:rsidRDefault="002C3E60">
      <w:pPr>
        <w:pStyle w:val="normal0"/>
        <w:spacing w:line="360" w:lineRule="auto"/>
        <w:jc w:val="both"/>
      </w:pPr>
      <w:r>
        <w:rPr>
          <w:rFonts w:ascii="Times New Roman" w:eastAsia="Times New Roman" w:hAnsi="Times New Roman" w:cs="Times New Roman"/>
          <w:sz w:val="24"/>
        </w:rPr>
        <w:t xml:space="preserve">Pain J concluded that the environmental impact assessment for the Anvil Hill coal mine should include estimations of greenhouse gas emissions </w:t>
      </w:r>
      <w:r>
        <w:rPr>
          <w:rFonts w:ascii="Times New Roman" w:eastAsia="Times New Roman" w:hAnsi="Times New Roman" w:cs="Times New Roman"/>
          <w:sz w:val="24"/>
        </w:rPr>
        <w:t>from not only the construction of the coal mine but also from the end-uses of the coal to be mined there. The judgment in Gray suggests two requirements of the principle of intergenerational equity in the context of environmental impact assessment: an asse</w:t>
      </w:r>
      <w:r>
        <w:rPr>
          <w:rFonts w:ascii="Times New Roman" w:eastAsia="Times New Roman" w:hAnsi="Times New Roman" w:cs="Times New Roman"/>
          <w:sz w:val="24"/>
        </w:rPr>
        <w:t>ssment of cumulative impact, and an appropriately detailed analysis of relevant considerations:</w:t>
      </w:r>
    </w:p>
    <w:p w:rsidR="0076502E" w:rsidRDefault="002C3E60">
      <w:pPr>
        <w:pStyle w:val="normal0"/>
        <w:spacing w:line="360" w:lineRule="auto"/>
        <w:ind w:left="720"/>
        <w:jc w:val="both"/>
      </w:pPr>
      <w:r>
        <w:rPr>
          <w:rFonts w:ascii="Times New Roman" w:eastAsia="Times New Roman" w:hAnsi="Times New Roman" w:cs="Times New Roman"/>
          <w:sz w:val="24"/>
        </w:rPr>
        <w:t>“simply raising an issue such as climate change/global warming is unlikely to satisfy a requirement that intergenerational equity or the precautionary principle</w:t>
      </w:r>
      <w:r>
        <w:rPr>
          <w:rFonts w:ascii="Times New Roman" w:eastAsia="Times New Roman" w:hAnsi="Times New Roman" w:cs="Times New Roman"/>
          <w:sz w:val="24"/>
        </w:rPr>
        <w:t xml:space="preserve"> has been considered in the absence of any analysis of the impact of activities which potentially contribute in the NSW context in a substantial way to climate change/global warming.”</w:t>
      </w:r>
      <w:r>
        <w:rPr>
          <w:rStyle w:val="Footnoteanchor"/>
        </w:rPr>
        <w:footnoteReference w:id="37"/>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sz w:val="24"/>
        </w:rPr>
        <w:t xml:space="preserve">8) </w:t>
      </w:r>
      <w:r>
        <w:rPr>
          <w:rFonts w:ascii="Times New Roman" w:eastAsia="Times New Roman" w:hAnsi="Times New Roman" w:cs="Times New Roman"/>
          <w:b/>
          <w:i/>
          <w:sz w:val="24"/>
        </w:rPr>
        <w:t>Taralga Landscape Guardians Inc v Minister for Planning</w:t>
      </w:r>
      <w:r>
        <w:rPr>
          <w:rStyle w:val="Footnoteanchor"/>
        </w:rPr>
        <w:footnoteReference w:id="38"/>
      </w:r>
      <w:r>
        <w:rPr>
          <w:rFonts w:ascii="Times New Roman" w:eastAsia="Times New Roman" w:hAnsi="Times New Roman" w:cs="Times New Roman"/>
          <w:sz w:val="24"/>
        </w:rPr>
        <w:t>:-</w:t>
      </w:r>
    </w:p>
    <w:p w:rsidR="0076502E" w:rsidRDefault="002C3E60">
      <w:pPr>
        <w:pStyle w:val="normal0"/>
        <w:spacing w:line="360" w:lineRule="auto"/>
        <w:jc w:val="both"/>
      </w:pPr>
      <w:r>
        <w:rPr>
          <w:rFonts w:ascii="Times New Roman" w:eastAsia="Times New Roman" w:hAnsi="Times New Roman" w:cs="Times New Roman"/>
          <w:sz w:val="24"/>
        </w:rPr>
        <w:t>This was</w:t>
      </w:r>
      <w:r>
        <w:rPr>
          <w:rFonts w:ascii="Times New Roman" w:eastAsia="Times New Roman" w:hAnsi="Times New Roman" w:cs="Times New Roman"/>
          <w:sz w:val="24"/>
        </w:rPr>
        <w:t xml:space="preserve"> a 2007 case involving a dispute between a group of rural residents and a wind energy company over the company’s development proposal for a wind farm that would be visible from the residents’ properties. The case required the balancing of local interests (</w:t>
      </w:r>
      <w:r>
        <w:rPr>
          <w:rFonts w:ascii="Times New Roman" w:eastAsia="Times New Roman" w:hAnsi="Times New Roman" w:cs="Times New Roman"/>
          <w:sz w:val="24"/>
        </w:rPr>
        <w:t>the appearance, noise and impact upon local flora and fauna of the wind farm, considered unacceptable by local residents) with wider interests (the advantages to the community at large of provision of wind energy, a low carbon-emitting energy). The presidi</w:t>
      </w:r>
      <w:r>
        <w:rPr>
          <w:rFonts w:ascii="Times New Roman" w:eastAsia="Times New Roman" w:hAnsi="Times New Roman" w:cs="Times New Roman"/>
          <w:sz w:val="24"/>
        </w:rPr>
        <w:t>ng judge, Preston CJ, found that the interests of the broader population in having a clean energy source at the site outweighed those of the local residents. Most relevantly to this Chapter, Preston CJ drew upon the concept of intergenerational equity, sta</w:t>
      </w:r>
      <w:r>
        <w:rPr>
          <w:rFonts w:ascii="Times New Roman" w:eastAsia="Times New Roman" w:hAnsi="Times New Roman" w:cs="Times New Roman"/>
          <w:sz w:val="24"/>
        </w:rPr>
        <w:t>ting that the attainment of intergenerational equity in the production of energy involves meeting at least two of the following requirements</w:t>
      </w:r>
      <w:r>
        <w:rPr>
          <w:rStyle w:val="Footnoteanchor"/>
        </w:rPr>
        <w:footnoteReference w:id="39"/>
      </w:r>
      <w:r>
        <w:rPr>
          <w:rFonts w:ascii="Times New Roman" w:eastAsia="Times New Roman" w:hAnsi="Times New Roman" w:cs="Times New Roman"/>
          <w:sz w:val="24"/>
        </w:rPr>
        <w:t>:</w:t>
      </w:r>
    </w:p>
    <w:p w:rsidR="0076502E" w:rsidRDefault="002C3E60">
      <w:pPr>
        <w:pStyle w:val="normal0"/>
        <w:spacing w:line="360" w:lineRule="auto"/>
        <w:ind w:left="720"/>
        <w:jc w:val="both"/>
      </w:pPr>
      <w:r>
        <w:rPr>
          <w:rFonts w:ascii="Times New Roman" w:eastAsia="Times New Roman" w:hAnsi="Times New Roman" w:cs="Times New Roman"/>
          <w:sz w:val="24"/>
        </w:rPr>
        <w:lastRenderedPageBreak/>
        <w:t>“1. Mining of and subsequent use in the production of energy of finite, fossil fuel resources need to be sustaina</w:t>
      </w:r>
      <w:r>
        <w:rPr>
          <w:rFonts w:ascii="Times New Roman" w:eastAsia="Times New Roman" w:hAnsi="Times New Roman" w:cs="Times New Roman"/>
          <w:sz w:val="24"/>
        </w:rPr>
        <w:t>ble. Sustainability refers not only to the exploitation and use of the resource (including rational and prudent use and the elimination of waste) but also to the environment in which the exploitation and use takes place and which may be affected. The objec</w:t>
      </w:r>
      <w:r>
        <w:rPr>
          <w:rFonts w:ascii="Times New Roman" w:eastAsia="Times New Roman" w:hAnsi="Times New Roman" w:cs="Times New Roman"/>
          <w:sz w:val="24"/>
        </w:rPr>
        <w:t>tive is not only to extend the life of the finite resources and the benefits yielded by exploitation and use of the resources to future generations, but also to maintain the environment, including the ecological processes on which life depends, for the ben</w:t>
      </w:r>
      <w:r>
        <w:rPr>
          <w:rFonts w:ascii="Times New Roman" w:eastAsia="Times New Roman" w:hAnsi="Times New Roman" w:cs="Times New Roman"/>
          <w:sz w:val="24"/>
        </w:rPr>
        <w:t xml:space="preserve">efit of future generations’; and </w:t>
      </w:r>
    </w:p>
    <w:p w:rsidR="0076502E" w:rsidRDefault="002C3E60">
      <w:pPr>
        <w:pStyle w:val="normal0"/>
        <w:spacing w:line="360" w:lineRule="auto"/>
        <w:ind w:firstLine="720"/>
        <w:jc w:val="both"/>
      </w:pPr>
      <w:r>
        <w:rPr>
          <w:rFonts w:ascii="Times New Roman" w:eastAsia="Times New Roman" w:hAnsi="Times New Roman" w:cs="Times New Roman"/>
          <w:sz w:val="24"/>
        </w:rPr>
        <w:t xml:space="preserve"> </w:t>
      </w:r>
    </w:p>
    <w:p w:rsidR="0076502E" w:rsidRDefault="002C3E60">
      <w:pPr>
        <w:pStyle w:val="normal0"/>
        <w:spacing w:line="360" w:lineRule="auto"/>
        <w:ind w:left="720"/>
        <w:jc w:val="both"/>
      </w:pPr>
      <w:r>
        <w:rPr>
          <w:rFonts w:ascii="Times New Roman" w:eastAsia="Times New Roman" w:hAnsi="Times New Roman" w:cs="Times New Roman"/>
          <w:sz w:val="24"/>
        </w:rPr>
        <w:t>2. As far as is practicable, to increasingly substitute energy sources that result in less greenhouse gas emissions for energy sources that result in more greenhouse gas emissions, thereby reducing the cumulative and lon</w:t>
      </w:r>
      <w:r>
        <w:rPr>
          <w:rFonts w:ascii="Times New Roman" w:eastAsia="Times New Roman" w:hAnsi="Times New Roman" w:cs="Times New Roman"/>
          <w:sz w:val="24"/>
        </w:rPr>
        <w:t>g-term effects caused by anthropogenic climate change. In this way, the present generation reduces the adverse consequences for future generations.”</w:t>
      </w:r>
      <w:r>
        <w:rPr>
          <w:rStyle w:val="Footnoteanchor"/>
        </w:rPr>
        <w:footnoteReference w:id="40"/>
      </w:r>
    </w:p>
    <w:p w:rsidR="0076502E" w:rsidRDefault="0076502E">
      <w:pPr>
        <w:pStyle w:val="normal0"/>
        <w:spacing w:line="360" w:lineRule="auto"/>
        <w:ind w:firstLine="720"/>
        <w:jc w:val="both"/>
      </w:pPr>
    </w:p>
    <w:p w:rsidR="0076502E" w:rsidRDefault="002C3E60">
      <w:pPr>
        <w:pStyle w:val="normal0"/>
        <w:spacing w:line="360" w:lineRule="auto"/>
        <w:jc w:val="both"/>
      </w:pPr>
      <w:r>
        <w:rPr>
          <w:rFonts w:ascii="Times New Roman" w:eastAsia="Times New Roman" w:hAnsi="Times New Roman" w:cs="Times New Roman"/>
          <w:sz w:val="24"/>
        </w:rPr>
        <w:t xml:space="preserve">Taralga involved a situation in which narrow, immediate interests (those of the local residents) were in </w:t>
      </w:r>
      <w:r>
        <w:rPr>
          <w:rFonts w:ascii="Times New Roman" w:eastAsia="Times New Roman" w:hAnsi="Times New Roman" w:cs="Times New Roman"/>
          <w:sz w:val="24"/>
        </w:rPr>
        <w:t>conflict with broader, long-term interests (those of the wider community over a long timeframe) and the broader, long-term interests including that of future generations were safeguarded.</w:t>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b/>
          <w:sz w:val="24"/>
        </w:rPr>
        <w:t>The reason for it being absolutely necessary for the Judiciary to i</w:t>
      </w:r>
      <w:r>
        <w:rPr>
          <w:rFonts w:ascii="Times New Roman" w:eastAsia="Times New Roman" w:hAnsi="Times New Roman" w:cs="Times New Roman"/>
          <w:b/>
          <w:sz w:val="24"/>
        </w:rPr>
        <w:t>ntervene and lay down objective principles and standards of intergenerational equity is that both the legislature and the executive are only concerned with the present generation as the present generation determines their political fortunes and their polit</w:t>
      </w:r>
      <w:r>
        <w:rPr>
          <w:rFonts w:ascii="Times New Roman" w:eastAsia="Times New Roman" w:hAnsi="Times New Roman" w:cs="Times New Roman"/>
          <w:b/>
          <w:sz w:val="24"/>
        </w:rPr>
        <w:t>ical future. Therefore it is absolutely necessary for the Judiciary to safeguard the rights of future generations.</w:t>
      </w:r>
    </w:p>
    <w:p w:rsidR="0076502E" w:rsidRDefault="0076502E">
      <w:pPr>
        <w:pStyle w:val="normal0"/>
        <w:spacing w:line="360" w:lineRule="auto"/>
        <w:jc w:val="both"/>
      </w:pPr>
    </w:p>
    <w:p w:rsidR="0076502E" w:rsidRDefault="002C3E60">
      <w:pPr>
        <w:pStyle w:val="normal0"/>
        <w:spacing w:line="360" w:lineRule="auto"/>
        <w:jc w:val="both"/>
      </w:pPr>
      <w:r>
        <w:rPr>
          <w:rFonts w:ascii="Times New Roman" w:eastAsia="Times New Roman" w:hAnsi="Times New Roman" w:cs="Times New Roman"/>
          <w:b/>
          <w:sz w:val="24"/>
        </w:rPr>
        <w:t xml:space="preserve">The direct implication of the abovementioned judicial decisions, Article 21 and Part 4 of the Constitution of India for the present case is </w:t>
      </w:r>
      <w:r>
        <w:rPr>
          <w:rFonts w:ascii="Times New Roman" w:eastAsia="Times New Roman" w:hAnsi="Times New Roman" w:cs="Times New Roman"/>
          <w:b/>
          <w:sz w:val="24"/>
        </w:rPr>
        <w:t>that the Court must lay down an upper limit on the total mining that can be permitted in the State of Goa which gives meaning to the concept of Intergenerational Equity and gives authoritative guidelines for the minimum number of generations (years) that c</w:t>
      </w:r>
      <w:r>
        <w:rPr>
          <w:rFonts w:ascii="Times New Roman" w:eastAsia="Times New Roman" w:hAnsi="Times New Roman" w:cs="Times New Roman"/>
          <w:b/>
          <w:sz w:val="24"/>
        </w:rPr>
        <w:t>urrent reserves of non-renewable resources should last.</w:t>
      </w:r>
    </w:p>
    <w:p w:rsidR="0076502E" w:rsidRDefault="0076502E">
      <w:pPr>
        <w:pStyle w:val="normal0"/>
        <w:spacing w:line="360" w:lineRule="auto"/>
        <w:jc w:val="both"/>
      </w:pPr>
    </w:p>
    <w:p w:rsidR="0076502E" w:rsidRDefault="0076502E">
      <w:pPr>
        <w:pStyle w:val="normal0"/>
        <w:spacing w:line="360" w:lineRule="auto"/>
        <w:jc w:val="both"/>
      </w:pPr>
    </w:p>
    <w:p w:rsidR="0076502E" w:rsidRDefault="0076502E">
      <w:pPr>
        <w:pStyle w:val="normal0"/>
        <w:spacing w:line="360" w:lineRule="auto"/>
        <w:jc w:val="both"/>
      </w:pPr>
    </w:p>
    <w:p w:rsidR="0076502E" w:rsidRDefault="002C3E60">
      <w:pPr>
        <w:pStyle w:val="normal0"/>
        <w:spacing w:line="360" w:lineRule="auto"/>
        <w:jc w:val="right"/>
      </w:pPr>
      <w:r>
        <w:rPr>
          <w:rFonts w:ascii="Times New Roman" w:eastAsia="Times New Roman" w:hAnsi="Times New Roman" w:cs="Times New Roman"/>
          <w:sz w:val="24"/>
        </w:rPr>
        <w:t>Prashant Bhushan</w:t>
      </w:r>
    </w:p>
    <w:p w:rsidR="0076502E" w:rsidRDefault="002C3E60">
      <w:pPr>
        <w:pStyle w:val="normal0"/>
        <w:spacing w:line="360" w:lineRule="auto"/>
        <w:jc w:val="right"/>
      </w:pPr>
      <w:r>
        <w:rPr>
          <w:rFonts w:ascii="Times New Roman" w:eastAsia="Times New Roman" w:hAnsi="Times New Roman" w:cs="Times New Roman"/>
          <w:sz w:val="24"/>
        </w:rPr>
        <w:t>(Counsel for the Petitioners)</w:t>
      </w:r>
    </w:p>
    <w:p w:rsidR="002C3E60" w:rsidRDefault="002C3E60"/>
    <w:sectPr w:rsidR="002C3E60" w:rsidSect="0076502E">
      <w:footerReference w:type="default" r:id="rId7"/>
      <w:pgSz w:w="12240" w:h="20160"/>
      <w:pgMar w:top="1440" w:right="1440" w:bottom="1497" w:left="1440" w:header="0" w:footer="1440" w:gutter="0"/>
      <w:cols w:space="720"/>
      <w:formProt w:val="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E60" w:rsidRDefault="002C3E60" w:rsidP="0076502E">
      <w:pPr>
        <w:spacing w:after="0" w:line="240" w:lineRule="auto"/>
      </w:pPr>
      <w:r>
        <w:separator/>
      </w:r>
    </w:p>
  </w:endnote>
  <w:endnote w:type="continuationSeparator" w:id="0">
    <w:p w:rsidR="002C3E60" w:rsidRDefault="002C3E60" w:rsidP="00765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auto"/>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02E" w:rsidRDefault="0076502E">
    <w:pPr>
      <w:pStyle w:val="normal0"/>
      <w:jc w:val="right"/>
    </w:pPr>
    <w:r>
      <w:fldChar w:fldCharType="begin"/>
    </w:r>
    <w:r w:rsidR="002C3E60">
      <w:instrText>PAGE</w:instrText>
    </w:r>
    <w:r>
      <w:fldChar w:fldCharType="separate"/>
    </w:r>
    <w:r w:rsidR="00DD34F6">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E60" w:rsidRDefault="002C3E60">
      <w:r>
        <w:separator/>
      </w:r>
    </w:p>
  </w:footnote>
  <w:footnote w:type="continuationSeparator" w:id="0">
    <w:p w:rsidR="002C3E60" w:rsidRDefault="002C3E60">
      <w:r>
        <w:continuationSeparator/>
      </w:r>
    </w:p>
  </w:footnote>
  <w:footnote w:id="1">
    <w:p w:rsidR="0076502E" w:rsidRDefault="002C3E60">
      <w:pPr>
        <w:pStyle w:val="normal0"/>
        <w:spacing w:line="100" w:lineRule="atLeast"/>
      </w:pPr>
      <w:r>
        <w:rPr>
          <w:vertAlign w:val="superscript"/>
        </w:rPr>
        <w:footnoteRef/>
      </w:r>
      <w:r>
        <w:rPr>
          <w:vertAlign w:val="superscript"/>
        </w:rPr>
        <w:tab/>
      </w:r>
      <w:r>
        <w:rPr>
          <w:rFonts w:ascii="Times New Roman" w:eastAsia="Times New Roman" w:hAnsi="Times New Roman" w:cs="Times New Roman"/>
          <w:sz w:val="20"/>
        </w:rPr>
        <w:t xml:space="preserve"> E Brown Weiss, In Fairness to Future Generations, UN University </w:t>
      </w:r>
      <w:r>
        <w:rPr>
          <w:rFonts w:ascii="Times New Roman" w:eastAsia="Times New Roman" w:hAnsi="Times New Roman" w:cs="Times New Roman"/>
          <w:sz w:val="20"/>
        </w:rPr>
        <w:t>Press, 1989 at pp. 26 – 27</w:t>
      </w:r>
    </w:p>
  </w:footnote>
  <w:footnote w:id="2">
    <w:p w:rsidR="0076502E" w:rsidRDefault="002C3E60">
      <w:pPr>
        <w:pStyle w:val="normal0"/>
        <w:spacing w:line="100" w:lineRule="atLeast"/>
      </w:pPr>
      <w:r>
        <w:rPr>
          <w:vertAlign w:val="superscript"/>
        </w:rPr>
        <w:footnoteRef/>
      </w:r>
      <w:r>
        <w:rPr>
          <w:vertAlign w:val="superscript"/>
        </w:rPr>
        <w:tab/>
      </w:r>
      <w:r>
        <w:rPr>
          <w:sz w:val="20"/>
        </w:rPr>
        <w:t xml:space="preserve"> </w:t>
      </w:r>
      <w:r>
        <w:rPr>
          <w:rFonts w:ascii="Times New Roman" w:eastAsia="Times New Roman" w:hAnsi="Times New Roman" w:cs="Times New Roman"/>
          <w:sz w:val="20"/>
        </w:rPr>
        <w:t>Justice Brian J. Preston, Chief Judge of the Land and Environment Court of New South Wales, Australia - “</w:t>
      </w:r>
      <w:r>
        <w:rPr>
          <w:rFonts w:ascii="Times New Roman" w:eastAsia="Times New Roman" w:hAnsi="Times New Roman" w:cs="Times New Roman"/>
          <w:i/>
          <w:sz w:val="20"/>
        </w:rPr>
        <w:t>The Role of the Judiciary in Promoting Sustainable Development: The Experience of Asia and the Pacific</w:t>
      </w:r>
      <w:r>
        <w:rPr>
          <w:rFonts w:ascii="Times New Roman" w:eastAsia="Times New Roman" w:hAnsi="Times New Roman" w:cs="Times New Roman"/>
          <w:sz w:val="20"/>
        </w:rPr>
        <w:t>”, January 2006. (L</w:t>
      </w:r>
      <w:r>
        <w:rPr>
          <w:rFonts w:ascii="Times New Roman" w:eastAsia="Times New Roman" w:hAnsi="Times New Roman" w:cs="Times New Roman"/>
          <w:sz w:val="20"/>
        </w:rPr>
        <w:t xml:space="preserve">ink:- </w:t>
      </w:r>
    </w:p>
  </w:footnote>
  <w:footnote w:id="3">
    <w:p w:rsidR="00DD34F6" w:rsidRDefault="00DD34F6"/>
    <w:p w:rsidR="00000000" w:rsidRDefault="002C3E60"/>
  </w:footnote>
  <w:footnote w:id="4">
    <w:p w:rsidR="00DD34F6" w:rsidRDefault="00DD34F6"/>
    <w:p w:rsidR="00000000" w:rsidRDefault="002C3E60"/>
  </w:footnote>
  <w:footnote w:id="5">
    <w:p w:rsidR="00DD34F6" w:rsidRDefault="00DD34F6"/>
    <w:p w:rsidR="00000000" w:rsidRDefault="002C3E60"/>
  </w:footnote>
  <w:footnote w:id="6">
    <w:p w:rsidR="00DD34F6" w:rsidRDefault="00DD34F6"/>
    <w:p w:rsidR="00000000" w:rsidRDefault="002C3E60"/>
  </w:footnote>
  <w:footnote w:id="7">
    <w:p w:rsidR="00DD34F6" w:rsidRDefault="00DD34F6"/>
    <w:p w:rsidR="00000000" w:rsidRDefault="002C3E60"/>
  </w:footnote>
  <w:footnote w:id="8">
    <w:p w:rsidR="00DD34F6" w:rsidRDefault="00DD34F6"/>
    <w:p w:rsidR="00000000" w:rsidRDefault="002C3E60"/>
  </w:footnote>
  <w:footnote w:id="9">
    <w:p w:rsidR="00DD34F6" w:rsidRDefault="00DD34F6"/>
    <w:p w:rsidR="00000000" w:rsidRDefault="002C3E60"/>
  </w:footnote>
  <w:footnote w:id="10">
    <w:p w:rsidR="00DD34F6" w:rsidRDefault="00DD34F6"/>
    <w:p w:rsidR="00000000" w:rsidRDefault="002C3E60"/>
  </w:footnote>
  <w:footnote w:id="11">
    <w:p w:rsidR="00DD34F6" w:rsidRDefault="00DD34F6"/>
    <w:p w:rsidR="00000000" w:rsidRDefault="002C3E60"/>
  </w:footnote>
  <w:footnote w:id="12">
    <w:p w:rsidR="00DD34F6" w:rsidRDefault="00DD34F6"/>
    <w:p w:rsidR="00000000" w:rsidRDefault="002C3E60"/>
  </w:footnote>
  <w:footnote w:id="13">
    <w:p w:rsidR="00DD34F6" w:rsidRDefault="00DD34F6"/>
    <w:p w:rsidR="00000000" w:rsidRDefault="002C3E60"/>
  </w:footnote>
  <w:footnote w:id="14">
    <w:p w:rsidR="00DD34F6" w:rsidRDefault="00DD34F6"/>
    <w:p w:rsidR="00000000" w:rsidRDefault="002C3E60"/>
  </w:footnote>
  <w:footnote w:id="15">
    <w:p w:rsidR="00DD34F6" w:rsidRDefault="00DD34F6"/>
    <w:p w:rsidR="00000000" w:rsidRDefault="002C3E60"/>
  </w:footnote>
  <w:footnote w:id="16">
    <w:p w:rsidR="00DD34F6" w:rsidRDefault="00DD34F6"/>
    <w:p w:rsidR="00000000" w:rsidRDefault="002C3E60"/>
  </w:footnote>
  <w:footnote w:id="17">
    <w:p w:rsidR="00DD34F6" w:rsidRDefault="00DD34F6"/>
    <w:p w:rsidR="00000000" w:rsidRDefault="002C3E60"/>
  </w:footnote>
  <w:footnote w:id="18">
    <w:p w:rsidR="00DD34F6" w:rsidRDefault="00DD34F6"/>
    <w:p w:rsidR="00000000" w:rsidRDefault="002C3E60"/>
  </w:footnote>
  <w:footnote w:id="19">
    <w:p w:rsidR="00DD34F6" w:rsidRDefault="00DD34F6"/>
    <w:p w:rsidR="00000000" w:rsidRDefault="002C3E60"/>
  </w:footnote>
  <w:footnote w:id="20">
    <w:p w:rsidR="00DD34F6" w:rsidRDefault="00DD34F6"/>
    <w:p w:rsidR="00000000" w:rsidRDefault="002C3E60"/>
  </w:footnote>
  <w:footnote w:id="21">
    <w:p w:rsidR="00DD34F6" w:rsidRDefault="00DD34F6"/>
    <w:p w:rsidR="00000000" w:rsidRDefault="002C3E60"/>
  </w:footnote>
  <w:footnote w:id="22">
    <w:p w:rsidR="00DD34F6" w:rsidRDefault="00DD34F6"/>
    <w:p w:rsidR="00000000" w:rsidRDefault="002C3E60"/>
  </w:footnote>
  <w:footnote w:id="23">
    <w:p w:rsidR="00DD34F6" w:rsidRDefault="00DD34F6"/>
    <w:p w:rsidR="00000000" w:rsidRDefault="002C3E60"/>
  </w:footnote>
  <w:footnote w:id="24">
    <w:p w:rsidR="00DD34F6" w:rsidRDefault="00DD34F6"/>
    <w:p w:rsidR="00000000" w:rsidRDefault="002C3E60"/>
  </w:footnote>
  <w:footnote w:id="25">
    <w:p w:rsidR="00DD34F6" w:rsidRDefault="00DD34F6"/>
    <w:p w:rsidR="00000000" w:rsidRDefault="002C3E60"/>
  </w:footnote>
  <w:footnote w:id="26">
    <w:p w:rsidR="00DD34F6" w:rsidRDefault="00DD34F6"/>
    <w:p w:rsidR="00000000" w:rsidRDefault="002C3E60"/>
  </w:footnote>
  <w:footnote w:id="27">
    <w:p w:rsidR="00DD34F6" w:rsidRDefault="00DD34F6"/>
    <w:p w:rsidR="00000000" w:rsidRDefault="002C3E60"/>
  </w:footnote>
  <w:footnote w:id="28">
    <w:p w:rsidR="00DD34F6" w:rsidRDefault="00DD34F6"/>
    <w:p w:rsidR="00000000" w:rsidRDefault="002C3E60"/>
  </w:footnote>
  <w:footnote w:id="29">
    <w:p w:rsidR="00DD34F6" w:rsidRDefault="00DD34F6"/>
    <w:p w:rsidR="00000000" w:rsidRDefault="002C3E60"/>
  </w:footnote>
  <w:footnote w:id="30">
    <w:p w:rsidR="00DD34F6" w:rsidRDefault="00DD34F6"/>
    <w:p w:rsidR="00000000" w:rsidRDefault="002C3E60"/>
  </w:footnote>
  <w:footnote w:id="31">
    <w:p w:rsidR="00DD34F6" w:rsidRDefault="00DD34F6"/>
    <w:p w:rsidR="00000000" w:rsidRDefault="002C3E60"/>
  </w:footnote>
  <w:footnote w:id="32">
    <w:p w:rsidR="00DD34F6" w:rsidRDefault="00DD34F6"/>
    <w:p w:rsidR="00000000" w:rsidRDefault="002C3E60"/>
  </w:footnote>
  <w:footnote w:id="33">
    <w:p w:rsidR="00DD34F6" w:rsidRDefault="00DD34F6"/>
    <w:p w:rsidR="00000000" w:rsidRDefault="002C3E60"/>
  </w:footnote>
  <w:footnote w:id="34">
    <w:p w:rsidR="00DD34F6" w:rsidRDefault="00DD34F6"/>
    <w:p w:rsidR="00000000" w:rsidRDefault="002C3E60"/>
  </w:footnote>
  <w:footnote w:id="35">
    <w:p w:rsidR="00DD34F6" w:rsidRDefault="00DD34F6"/>
    <w:p w:rsidR="00000000" w:rsidRDefault="002C3E60"/>
  </w:footnote>
  <w:footnote w:id="36">
    <w:p w:rsidR="00DD34F6" w:rsidRDefault="00DD34F6"/>
    <w:p w:rsidR="00000000" w:rsidRDefault="002C3E60"/>
  </w:footnote>
  <w:footnote w:id="37">
    <w:p w:rsidR="00DD34F6" w:rsidRDefault="00DD34F6"/>
    <w:p w:rsidR="00000000" w:rsidRDefault="002C3E60"/>
  </w:footnote>
  <w:footnote w:id="38">
    <w:p w:rsidR="00DD34F6" w:rsidRDefault="00DD34F6"/>
    <w:p w:rsidR="00000000" w:rsidRDefault="002C3E60"/>
  </w:footnote>
  <w:footnote w:id="39">
    <w:p w:rsidR="00DD34F6" w:rsidRDefault="00DD34F6"/>
    <w:p w:rsidR="00000000" w:rsidRDefault="002C3E60"/>
  </w:footnote>
  <w:footnote w:id="40">
    <w:p w:rsidR="00DD34F6" w:rsidRDefault="00DD34F6"/>
    <w:p w:rsidR="00000000" w:rsidRDefault="002C3E6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E7250"/>
    <w:multiLevelType w:val="multilevel"/>
    <w:tmpl w:val="85B865CC"/>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AB10603"/>
    <w:multiLevelType w:val="multilevel"/>
    <w:tmpl w:val="7F647D4A"/>
    <w:lvl w:ilvl="0">
      <w:start w:val="1"/>
      <w:numFmt w:val="bullet"/>
      <w:lvlText w:val="●"/>
      <w:lvlJc w:val="left"/>
      <w:pPr>
        <w:ind w:left="720" w:firstLine="360"/>
      </w:pPr>
      <w:rPr>
        <w:rFonts w:ascii="Verdana" w:hAnsi="Verdana" w:cs="Verdana" w:hint="default"/>
        <w:sz w:val="22"/>
        <w:u w:val="none"/>
        <w:shd w:val="clear" w:color="auto" w:fill="FFFFFF"/>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76502E"/>
    <w:rsid w:val="002C3E60"/>
    <w:rsid w:val="0076502E"/>
    <w:rsid w:val="00DD34F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502E"/>
    <w:pPr>
      <w:tabs>
        <w:tab w:val="left" w:pos="720"/>
      </w:tabs>
      <w:suppressAutoHyphens/>
    </w:pPr>
    <w:rPr>
      <w:rFonts w:ascii="Calibri" w:eastAsia="Arial Unicode MS" w:hAnsi="Calibri"/>
      <w:lang w:val="en-US" w:eastAsia="en-US"/>
    </w:rPr>
  </w:style>
  <w:style w:type="paragraph" w:styleId="Heading1">
    <w:name w:val="heading 1"/>
    <w:next w:val="Textbody"/>
    <w:rsid w:val="0076502E"/>
    <w:pPr>
      <w:widowControl w:val="0"/>
      <w:tabs>
        <w:tab w:val="left" w:pos="720"/>
      </w:tabs>
      <w:suppressAutoHyphens/>
      <w:spacing w:before="200"/>
      <w:outlineLvl w:val="0"/>
    </w:pPr>
    <w:rPr>
      <w:rFonts w:ascii="Trebuchet MS" w:eastAsia="Trebuchet MS" w:hAnsi="Trebuchet MS" w:cs="Trebuchet MS"/>
      <w:sz w:val="32"/>
      <w:lang w:val="en-US" w:eastAsia="en-US"/>
    </w:rPr>
  </w:style>
  <w:style w:type="paragraph" w:styleId="Heading2">
    <w:name w:val="heading 2"/>
    <w:next w:val="Textbody"/>
    <w:rsid w:val="0076502E"/>
    <w:pPr>
      <w:widowControl w:val="0"/>
      <w:numPr>
        <w:ilvl w:val="1"/>
        <w:numId w:val="1"/>
      </w:numPr>
      <w:tabs>
        <w:tab w:val="left" w:pos="720"/>
      </w:tabs>
      <w:suppressAutoHyphens/>
      <w:spacing w:before="200"/>
      <w:outlineLvl w:val="1"/>
    </w:pPr>
    <w:rPr>
      <w:rFonts w:ascii="Trebuchet MS" w:eastAsia="Trebuchet MS" w:hAnsi="Trebuchet MS" w:cs="Trebuchet MS"/>
      <w:b/>
      <w:sz w:val="26"/>
      <w:lang w:val="en-US" w:eastAsia="en-US"/>
    </w:rPr>
  </w:style>
  <w:style w:type="paragraph" w:styleId="Heading3">
    <w:name w:val="heading 3"/>
    <w:next w:val="Textbody"/>
    <w:rsid w:val="0076502E"/>
    <w:pPr>
      <w:widowControl w:val="0"/>
      <w:numPr>
        <w:ilvl w:val="2"/>
        <w:numId w:val="1"/>
      </w:numPr>
      <w:tabs>
        <w:tab w:val="left" w:pos="720"/>
      </w:tabs>
      <w:suppressAutoHyphens/>
      <w:spacing w:before="160"/>
      <w:outlineLvl w:val="2"/>
    </w:pPr>
    <w:rPr>
      <w:rFonts w:ascii="Trebuchet MS" w:eastAsia="Trebuchet MS" w:hAnsi="Trebuchet MS" w:cs="Trebuchet MS"/>
      <w:b/>
      <w:color w:val="666666"/>
      <w:sz w:val="24"/>
      <w:lang w:val="en-US" w:eastAsia="en-US"/>
    </w:rPr>
  </w:style>
  <w:style w:type="paragraph" w:styleId="Heading4">
    <w:name w:val="heading 4"/>
    <w:next w:val="Textbody"/>
    <w:rsid w:val="0076502E"/>
    <w:pPr>
      <w:widowControl w:val="0"/>
      <w:numPr>
        <w:ilvl w:val="3"/>
        <w:numId w:val="1"/>
      </w:numPr>
      <w:tabs>
        <w:tab w:val="left" w:pos="720"/>
      </w:tabs>
      <w:suppressAutoHyphens/>
      <w:spacing w:before="160"/>
      <w:outlineLvl w:val="3"/>
    </w:pPr>
    <w:rPr>
      <w:rFonts w:ascii="Trebuchet MS" w:eastAsia="Trebuchet MS" w:hAnsi="Trebuchet MS" w:cs="Trebuchet MS"/>
      <w:color w:val="666666"/>
      <w:u w:val="single"/>
      <w:lang w:val="en-US" w:eastAsia="en-US"/>
    </w:rPr>
  </w:style>
  <w:style w:type="paragraph" w:styleId="Heading5">
    <w:name w:val="heading 5"/>
    <w:next w:val="Textbody"/>
    <w:rsid w:val="0076502E"/>
    <w:pPr>
      <w:widowControl w:val="0"/>
      <w:numPr>
        <w:ilvl w:val="4"/>
        <w:numId w:val="1"/>
      </w:numPr>
      <w:tabs>
        <w:tab w:val="left" w:pos="720"/>
      </w:tabs>
      <w:suppressAutoHyphens/>
      <w:spacing w:before="160"/>
      <w:outlineLvl w:val="4"/>
    </w:pPr>
    <w:rPr>
      <w:rFonts w:ascii="Trebuchet MS" w:eastAsia="Trebuchet MS" w:hAnsi="Trebuchet MS" w:cs="Trebuchet MS"/>
      <w:color w:val="666666"/>
      <w:lang w:val="en-US" w:eastAsia="en-US"/>
    </w:rPr>
  </w:style>
  <w:style w:type="paragraph" w:styleId="Heading6">
    <w:name w:val="heading 6"/>
    <w:next w:val="Textbody"/>
    <w:rsid w:val="0076502E"/>
    <w:pPr>
      <w:widowControl w:val="0"/>
      <w:numPr>
        <w:ilvl w:val="5"/>
        <w:numId w:val="1"/>
      </w:numPr>
      <w:tabs>
        <w:tab w:val="left" w:pos="720"/>
      </w:tabs>
      <w:suppressAutoHyphens/>
      <w:spacing w:before="160"/>
      <w:outlineLvl w:val="5"/>
    </w:pPr>
    <w:rPr>
      <w:rFonts w:ascii="Trebuchet MS" w:eastAsia="Trebuchet MS" w:hAnsi="Trebuchet MS" w:cs="Trebuchet MS"/>
      <w:i/>
      <w:color w:val="66666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rsid w:val="0076502E"/>
    <w:rPr>
      <w:sz w:val="24"/>
      <w:szCs w:val="24"/>
    </w:rPr>
  </w:style>
  <w:style w:type="character" w:styleId="FootnoteReference">
    <w:name w:val="footnote reference"/>
    <w:basedOn w:val="DefaultParagraphFont"/>
    <w:rsid w:val="0076502E"/>
    <w:rPr>
      <w:vertAlign w:val="superscript"/>
    </w:rPr>
  </w:style>
  <w:style w:type="character" w:customStyle="1" w:styleId="ListLabel1">
    <w:name w:val="ListLabel 1"/>
    <w:rsid w:val="0076502E"/>
    <w:rPr>
      <w:rFonts w:eastAsia="Verdana" w:cs="Verdana"/>
      <w:sz w:val="22"/>
      <w:u w:val="none"/>
      <w:shd w:val="clear" w:color="auto" w:fill="FFFFFF"/>
    </w:rPr>
  </w:style>
  <w:style w:type="character" w:customStyle="1" w:styleId="ListLabel2">
    <w:name w:val="ListLabel 2"/>
    <w:rsid w:val="0076502E"/>
    <w:rPr>
      <w:u w:val="none"/>
    </w:rPr>
  </w:style>
  <w:style w:type="character" w:customStyle="1" w:styleId="InternetLink">
    <w:name w:val="Internet Link"/>
    <w:rsid w:val="0076502E"/>
    <w:rPr>
      <w:color w:val="000080"/>
      <w:u w:val="single"/>
      <w:lang w:val="en-US" w:eastAsia="en-US" w:bidi="en-US"/>
    </w:rPr>
  </w:style>
  <w:style w:type="character" w:customStyle="1" w:styleId="FootnoteCharacters">
    <w:name w:val="Footnote Characters"/>
    <w:rsid w:val="0076502E"/>
  </w:style>
  <w:style w:type="character" w:customStyle="1" w:styleId="Footnoteanchor">
    <w:name w:val="Footnote anchor"/>
    <w:rsid w:val="0076502E"/>
    <w:rPr>
      <w:vertAlign w:val="superscript"/>
    </w:rPr>
  </w:style>
  <w:style w:type="character" w:customStyle="1" w:styleId="Endnoteanchor">
    <w:name w:val="Endnote anchor"/>
    <w:rsid w:val="0076502E"/>
    <w:rPr>
      <w:vertAlign w:val="superscript"/>
    </w:rPr>
  </w:style>
  <w:style w:type="character" w:customStyle="1" w:styleId="EndnoteCharacters">
    <w:name w:val="Endnote Characters"/>
    <w:rsid w:val="0076502E"/>
  </w:style>
  <w:style w:type="paragraph" w:customStyle="1" w:styleId="Heading">
    <w:name w:val="Heading"/>
    <w:basedOn w:val="Normal"/>
    <w:next w:val="Textbody"/>
    <w:rsid w:val="0076502E"/>
    <w:pPr>
      <w:keepNext/>
      <w:spacing w:before="240" w:after="120"/>
    </w:pPr>
    <w:rPr>
      <w:rFonts w:ascii="Arial" w:hAnsi="Arial" w:cs="Arial Unicode MS"/>
      <w:sz w:val="28"/>
      <w:szCs w:val="28"/>
    </w:rPr>
  </w:style>
  <w:style w:type="paragraph" w:customStyle="1" w:styleId="Textbody">
    <w:name w:val="Text body"/>
    <w:basedOn w:val="Normal"/>
    <w:rsid w:val="0076502E"/>
    <w:pPr>
      <w:spacing w:after="120"/>
    </w:pPr>
  </w:style>
  <w:style w:type="paragraph" w:styleId="List">
    <w:name w:val="List"/>
    <w:basedOn w:val="Textbody"/>
    <w:rsid w:val="0076502E"/>
  </w:style>
  <w:style w:type="paragraph" w:styleId="Caption">
    <w:name w:val="caption"/>
    <w:basedOn w:val="Normal"/>
    <w:rsid w:val="0076502E"/>
    <w:pPr>
      <w:suppressLineNumbers/>
      <w:spacing w:before="120" w:after="120"/>
    </w:pPr>
    <w:rPr>
      <w:i/>
      <w:iCs/>
      <w:sz w:val="24"/>
      <w:szCs w:val="24"/>
    </w:rPr>
  </w:style>
  <w:style w:type="paragraph" w:customStyle="1" w:styleId="Index">
    <w:name w:val="Index"/>
    <w:basedOn w:val="Normal"/>
    <w:rsid w:val="0076502E"/>
    <w:pPr>
      <w:suppressLineNumbers/>
    </w:pPr>
  </w:style>
  <w:style w:type="paragraph" w:customStyle="1" w:styleId="normal0">
    <w:name w:val="normal"/>
    <w:rsid w:val="0076502E"/>
    <w:pPr>
      <w:tabs>
        <w:tab w:val="left" w:pos="720"/>
      </w:tabs>
      <w:suppressAutoHyphens/>
      <w:spacing w:after="0"/>
    </w:pPr>
    <w:rPr>
      <w:rFonts w:ascii="Arial" w:eastAsia="Arial" w:hAnsi="Arial" w:cs="Arial"/>
      <w:color w:val="000000"/>
      <w:lang w:val="en-US" w:eastAsia="en-US"/>
    </w:rPr>
  </w:style>
  <w:style w:type="paragraph" w:styleId="Title">
    <w:name w:val="Title"/>
    <w:basedOn w:val="normal0"/>
    <w:next w:val="Subtitle"/>
    <w:rsid w:val="0076502E"/>
    <w:pPr>
      <w:jc w:val="center"/>
    </w:pPr>
    <w:rPr>
      <w:rFonts w:ascii="Trebuchet MS" w:eastAsia="Trebuchet MS" w:hAnsi="Trebuchet MS" w:cs="Trebuchet MS"/>
      <w:b/>
      <w:bCs/>
      <w:sz w:val="42"/>
      <w:szCs w:val="36"/>
    </w:rPr>
  </w:style>
  <w:style w:type="paragraph" w:styleId="Subtitle">
    <w:name w:val="Subtitle"/>
    <w:basedOn w:val="normal0"/>
    <w:next w:val="Textbody"/>
    <w:rsid w:val="0076502E"/>
    <w:pPr>
      <w:spacing w:after="200"/>
      <w:jc w:val="center"/>
    </w:pPr>
    <w:rPr>
      <w:rFonts w:ascii="Trebuchet MS" w:eastAsia="Trebuchet MS" w:hAnsi="Trebuchet MS" w:cs="Trebuchet MS"/>
      <w:i/>
      <w:iCs/>
      <w:color w:val="666666"/>
      <w:sz w:val="26"/>
      <w:szCs w:val="28"/>
    </w:rPr>
  </w:style>
  <w:style w:type="paragraph" w:styleId="FootnoteText">
    <w:name w:val="footnote text"/>
    <w:basedOn w:val="Normal"/>
    <w:rsid w:val="0076502E"/>
    <w:pPr>
      <w:spacing w:after="0" w:line="100" w:lineRule="atLeast"/>
    </w:pPr>
    <w:rPr>
      <w:sz w:val="24"/>
      <w:szCs w:val="24"/>
    </w:rPr>
  </w:style>
  <w:style w:type="paragraph" w:customStyle="1" w:styleId="Footnote">
    <w:name w:val="Footnote"/>
    <w:basedOn w:val="Normal"/>
    <w:rsid w:val="0076502E"/>
    <w:pPr>
      <w:suppressLineNumbers/>
      <w:ind w:left="339" w:hanging="339"/>
    </w:pPr>
    <w:rPr>
      <w:sz w:val="20"/>
      <w:szCs w:val="20"/>
    </w:rPr>
  </w:style>
  <w:style w:type="paragraph" w:styleId="Footer">
    <w:name w:val="footer"/>
    <w:basedOn w:val="Normal"/>
    <w:rsid w:val="0076502E"/>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5798</Words>
  <Characters>33054</Characters>
  <Application>Microsoft Office Word</Application>
  <DocSecurity>0</DocSecurity>
  <Lines>275</Lines>
  <Paragraphs>77</Paragraphs>
  <ScaleCrop>false</ScaleCrop>
  <Company/>
  <LinksUpToDate>false</LinksUpToDate>
  <CharactersWithSpaces>38775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Intergenerational Equity.docx</dc:title>
  <dc:creator>Harbinder Kaur</dc:creator>
  <cp:lastModifiedBy>Rahul &amp; Shrayragi</cp:lastModifiedBy>
  <cp:revision>1</cp:revision>
  <dcterms:created xsi:type="dcterms:W3CDTF">2013-10-28T11:14:00Z</dcterms:created>
  <dcterms:modified xsi:type="dcterms:W3CDTF">2014-02-17T09:51:00Z</dcterms:modified>
</cp:coreProperties>
</file>